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B5" w:rsidRPr="00173C8E" w:rsidRDefault="002C50B5" w:rsidP="002C50B5">
      <w:pPr>
        <w:pStyle w:val="Ttulo6"/>
        <w:spacing w:line="360" w:lineRule="auto"/>
        <w:rPr>
          <w:rFonts w:ascii="Times New Roman" w:hAnsi="Times New Roman" w:cs="Times New Roman"/>
          <w:bCs w:val="0"/>
        </w:rPr>
      </w:pPr>
    </w:p>
    <w:p w:rsidR="002C50B5" w:rsidRDefault="002C50B5" w:rsidP="002C50B5">
      <w:pPr>
        <w:pStyle w:val="Ttulo6"/>
        <w:spacing w:line="360" w:lineRule="auto"/>
        <w:jc w:val="center"/>
        <w:rPr>
          <w:rFonts w:ascii="Times New Roman" w:hAnsi="Times New Roman" w:cs="Times New Roman"/>
          <w:bCs w:val="0"/>
        </w:rPr>
      </w:pPr>
      <w:r>
        <w:rPr>
          <w:rFonts w:ascii="Times New Roman" w:hAnsi="Times New Roman" w:cs="Times New Roman"/>
          <w:bCs w:val="0"/>
        </w:rPr>
        <w:t>Déficit de vitamina B12 y d</w:t>
      </w:r>
      <w:r w:rsidRPr="00036DA5">
        <w:rPr>
          <w:rFonts w:ascii="Times New Roman" w:hAnsi="Times New Roman" w:cs="Times New Roman"/>
          <w:bCs w:val="0"/>
        </w:rPr>
        <w:t xml:space="preserve">esarrollo de </w:t>
      </w:r>
      <w:r>
        <w:rPr>
          <w:rFonts w:ascii="Times New Roman" w:hAnsi="Times New Roman" w:cs="Times New Roman"/>
          <w:bCs w:val="0"/>
        </w:rPr>
        <w:t xml:space="preserve">síndromes geriátricos. </w:t>
      </w:r>
    </w:p>
    <w:p w:rsidR="002C50B5" w:rsidRDefault="002C50B5" w:rsidP="002C50B5">
      <w:pPr>
        <w:pStyle w:val="Ttulo6"/>
        <w:spacing w:line="360" w:lineRule="auto"/>
        <w:jc w:val="center"/>
        <w:rPr>
          <w:rFonts w:ascii="Times New Roman" w:hAnsi="Times New Roman" w:cs="Times New Roman"/>
          <w:bCs w:val="0"/>
        </w:rPr>
      </w:pPr>
      <w:r>
        <w:rPr>
          <w:rFonts w:ascii="Times New Roman" w:hAnsi="Times New Roman" w:cs="Times New Roman"/>
          <w:bCs w:val="0"/>
        </w:rPr>
        <w:t>Reporte de caso</w:t>
      </w:r>
      <w:r w:rsidRPr="00036DA5">
        <w:rPr>
          <w:rFonts w:ascii="Times New Roman" w:hAnsi="Times New Roman" w:cs="Times New Roman"/>
          <w:bCs w:val="0"/>
        </w:rPr>
        <w:t xml:space="preserve"> </w:t>
      </w:r>
    </w:p>
    <w:p w:rsidR="002C50B5" w:rsidRPr="00173C8E" w:rsidRDefault="002C50B5" w:rsidP="002C50B5">
      <w:pPr>
        <w:pStyle w:val="Ttulo"/>
        <w:spacing w:line="360" w:lineRule="auto"/>
        <w:jc w:val="both"/>
        <w:rPr>
          <w:rFonts w:ascii="Times New Roman" w:hAnsi="Times New Roman"/>
        </w:rPr>
      </w:pPr>
    </w:p>
    <w:p w:rsidR="002C50B5" w:rsidRPr="00173C8E" w:rsidRDefault="002C50B5" w:rsidP="002C50B5">
      <w:pPr>
        <w:framePr w:hSpace="141" w:wrap="around" w:vAnchor="text" w:hAnchor="margin" w:xAlign="center" w:y="-58"/>
        <w:autoSpaceDE w:val="0"/>
        <w:autoSpaceDN w:val="0"/>
        <w:adjustRightInd w:val="0"/>
        <w:spacing w:line="360" w:lineRule="auto"/>
        <w:jc w:val="center"/>
        <w:rPr>
          <w:b/>
          <w:bCs/>
        </w:rPr>
      </w:pPr>
      <w:r w:rsidRPr="00173C8E">
        <w:rPr>
          <w:b/>
          <w:bCs/>
        </w:rPr>
        <w:t>José Mauricio Ocampo Chaparro</w:t>
      </w:r>
      <w:r>
        <w:rPr>
          <w:b/>
          <w:bCs/>
        </w:rPr>
        <w:t>, MD*</w:t>
      </w:r>
    </w:p>
    <w:p w:rsidR="002C50B5" w:rsidRDefault="002C50B5" w:rsidP="002C50B5">
      <w:pPr>
        <w:framePr w:hSpace="141" w:wrap="around" w:vAnchor="text" w:hAnchor="margin" w:xAlign="center" w:y="-58"/>
        <w:autoSpaceDE w:val="0"/>
        <w:autoSpaceDN w:val="0"/>
        <w:adjustRightInd w:val="0"/>
        <w:spacing w:line="360" w:lineRule="auto"/>
        <w:jc w:val="both"/>
      </w:pPr>
    </w:p>
    <w:p w:rsidR="002C50B5" w:rsidRPr="00173C8E" w:rsidRDefault="002C50B5" w:rsidP="002C50B5">
      <w:pPr>
        <w:framePr w:hSpace="141" w:wrap="around" w:vAnchor="text" w:hAnchor="margin" w:xAlign="center" w:y="-58"/>
        <w:autoSpaceDE w:val="0"/>
        <w:autoSpaceDN w:val="0"/>
        <w:adjustRightInd w:val="0"/>
        <w:spacing w:line="360" w:lineRule="auto"/>
        <w:jc w:val="both"/>
      </w:pPr>
      <w:r>
        <w:t xml:space="preserve">* </w:t>
      </w:r>
      <w:r w:rsidRPr="00173C8E">
        <w:t xml:space="preserve">Profesor Asistente, Departamento de Medicina Familiar, </w:t>
      </w:r>
      <w:r>
        <w:t xml:space="preserve">Facultad de Salud, </w:t>
      </w:r>
      <w:r w:rsidRPr="00173C8E">
        <w:t>Universidad del Valle</w:t>
      </w:r>
      <w:r>
        <w:t>, Cali, Colombia. e-mail:</w:t>
      </w:r>
      <w:hyperlink r:id="rId5" w:history="1">
        <w:r w:rsidRPr="00173C8E">
          <w:rPr>
            <w:rStyle w:val="Hipervnculo"/>
            <w:rFonts w:eastAsia="Arial Unicode MS"/>
            <w:lang w:val="es-MX" w:eastAsia="es-MX"/>
          </w:rPr>
          <w:t>jmocampo2000@yahoo.com.ar</w:t>
        </w:r>
      </w:hyperlink>
    </w:p>
    <w:tbl>
      <w:tblPr>
        <w:tblW w:w="5599" w:type="dxa"/>
        <w:tblCellMar>
          <w:left w:w="70" w:type="dxa"/>
          <w:right w:w="70" w:type="dxa"/>
        </w:tblCellMar>
        <w:tblLook w:val="04A0"/>
      </w:tblPr>
      <w:tblGrid>
        <w:gridCol w:w="5599"/>
      </w:tblGrid>
      <w:tr w:rsidR="002C50B5" w:rsidTr="004A6A51">
        <w:trPr>
          <w:trHeight w:val="360"/>
        </w:trPr>
        <w:tc>
          <w:tcPr>
            <w:tcW w:w="5599" w:type="dxa"/>
            <w:hideMark/>
          </w:tcPr>
          <w:p w:rsidR="002C50B5" w:rsidRDefault="002C50B5" w:rsidP="004A6A51">
            <w:pPr>
              <w:pStyle w:val="Textoindependiente2"/>
              <w:framePr w:hSpace="141" w:wrap="around" w:vAnchor="text" w:hAnchor="margin" w:xAlign="center" w:y="-58"/>
              <w:spacing w:line="360" w:lineRule="auto"/>
              <w:rPr>
                <w:rFonts w:ascii="Times New Roman" w:hAnsi="Times New Roman"/>
                <w:b/>
                <w:sz w:val="24"/>
              </w:rPr>
            </w:pPr>
          </w:p>
        </w:tc>
      </w:tr>
    </w:tbl>
    <w:p w:rsidR="002C50B5" w:rsidRPr="00173C8E" w:rsidRDefault="002C50B5" w:rsidP="002C50B5">
      <w:pPr>
        <w:pStyle w:val="Textoindependiente2"/>
        <w:spacing w:line="360" w:lineRule="auto"/>
        <w:jc w:val="both"/>
        <w:rPr>
          <w:rFonts w:ascii="Times New Roman" w:hAnsi="Times New Roman"/>
          <w:sz w:val="24"/>
        </w:rPr>
      </w:pPr>
      <w:r w:rsidRPr="002749B5">
        <w:rPr>
          <w:rFonts w:ascii="Times New Roman" w:hAnsi="Times New Roman"/>
          <w:b/>
          <w:bCs/>
          <w:sz w:val="24"/>
          <w:lang w:val="pt-BR"/>
        </w:rPr>
        <w:t>Correspondencia:</w:t>
      </w:r>
      <w:r w:rsidRPr="002749B5">
        <w:rPr>
          <w:rFonts w:ascii="Times New Roman" w:hAnsi="Times New Roman"/>
          <w:sz w:val="24"/>
          <w:lang w:val="pt-BR"/>
        </w:rPr>
        <w:t xml:space="preserve"> Doctor José Mauricio Ocampo Chaparro: Carrera 72B # 13A-56 Apartamento 501A. </w:t>
      </w:r>
      <w:r>
        <w:rPr>
          <w:rFonts w:ascii="Times New Roman" w:hAnsi="Times New Roman"/>
          <w:sz w:val="24"/>
        </w:rPr>
        <w:t>Conjunto residencial Pontevedra</w:t>
      </w:r>
      <w:r w:rsidRPr="00173C8E">
        <w:rPr>
          <w:rFonts w:ascii="Times New Roman" w:hAnsi="Times New Roman"/>
          <w:sz w:val="24"/>
        </w:rPr>
        <w:t xml:space="preserve">, Cali, Colombia. </w:t>
      </w:r>
    </w:p>
    <w:p w:rsidR="002C50B5" w:rsidRPr="00173C8E" w:rsidRDefault="002C50B5" w:rsidP="002C50B5">
      <w:pPr>
        <w:pStyle w:val="Textoindependiente2"/>
        <w:spacing w:line="360" w:lineRule="auto"/>
        <w:jc w:val="both"/>
        <w:rPr>
          <w:rFonts w:ascii="Times New Roman" w:hAnsi="Times New Roman"/>
          <w:sz w:val="24"/>
          <w:lang w:val="es-MX" w:eastAsia="es-MX"/>
        </w:rPr>
      </w:pPr>
      <w:r w:rsidRPr="00173C8E">
        <w:rPr>
          <w:rFonts w:ascii="Times New Roman" w:hAnsi="Times New Roman"/>
          <w:sz w:val="24"/>
          <w:lang w:val="es-MX" w:eastAsia="es-MX"/>
        </w:rPr>
        <w:t xml:space="preserve">e-mail: </w:t>
      </w:r>
      <w:hyperlink r:id="rId6" w:history="1">
        <w:r w:rsidRPr="00173C8E">
          <w:rPr>
            <w:rStyle w:val="Hipervnculo"/>
            <w:rFonts w:ascii="Times New Roman" w:eastAsia="Arial Unicode MS" w:hAnsi="Times New Roman"/>
            <w:sz w:val="24"/>
            <w:lang w:val="es-MX" w:eastAsia="es-MX"/>
          </w:rPr>
          <w:t>jmocampo2000@yahoo.com.ar</w:t>
        </w:r>
      </w:hyperlink>
    </w:p>
    <w:p w:rsidR="002C50B5" w:rsidRPr="00173C8E" w:rsidRDefault="002C50B5" w:rsidP="002C50B5">
      <w:pPr>
        <w:pStyle w:val="Textoindependiente2"/>
        <w:spacing w:line="360" w:lineRule="auto"/>
        <w:jc w:val="both"/>
        <w:rPr>
          <w:rFonts w:ascii="Times New Roman" w:hAnsi="Times New Roman"/>
          <w:color w:val="231F20"/>
          <w:sz w:val="24"/>
          <w:lang w:val="es-MX" w:eastAsia="es-MX"/>
        </w:rPr>
      </w:pPr>
    </w:p>
    <w:p w:rsidR="002C50B5" w:rsidRPr="00173C8E" w:rsidRDefault="002C50B5" w:rsidP="002C50B5">
      <w:pPr>
        <w:pStyle w:val="Textoindependiente"/>
        <w:spacing w:line="360" w:lineRule="auto"/>
        <w:rPr>
          <w:rFonts w:ascii="Times New Roman" w:hAnsi="Times New Roman"/>
        </w:rPr>
      </w:pPr>
    </w:p>
    <w:p w:rsidR="002C50B5" w:rsidRDefault="002C50B5" w:rsidP="002C50B5">
      <w:pPr>
        <w:autoSpaceDE w:val="0"/>
        <w:autoSpaceDN w:val="0"/>
        <w:adjustRightInd w:val="0"/>
        <w:spacing w:line="360" w:lineRule="auto"/>
        <w:jc w:val="both"/>
        <w:rPr>
          <w:b/>
          <w:bCs/>
        </w:rPr>
      </w:pPr>
      <w:r>
        <w:rPr>
          <w:b/>
          <w:bCs/>
        </w:rPr>
        <w:br w:type="page"/>
      </w:r>
      <w:r w:rsidRPr="00173C8E">
        <w:rPr>
          <w:b/>
          <w:bCs/>
        </w:rPr>
        <w:lastRenderedPageBreak/>
        <w:t>RESUMEN</w:t>
      </w:r>
    </w:p>
    <w:p w:rsidR="002C50B5" w:rsidRPr="00173C8E" w:rsidRDefault="002C50B5" w:rsidP="002C50B5">
      <w:pPr>
        <w:autoSpaceDE w:val="0"/>
        <w:autoSpaceDN w:val="0"/>
        <w:adjustRightInd w:val="0"/>
        <w:spacing w:line="360" w:lineRule="auto"/>
        <w:jc w:val="both"/>
        <w:rPr>
          <w:b/>
          <w:bCs/>
        </w:rPr>
      </w:pPr>
    </w:p>
    <w:p w:rsidR="002C50B5" w:rsidRPr="00642328" w:rsidRDefault="002C50B5" w:rsidP="002C50B5">
      <w:pPr>
        <w:pStyle w:val="Ttulo6"/>
        <w:spacing w:line="360" w:lineRule="auto"/>
        <w:rPr>
          <w:rFonts w:ascii="Times New Roman" w:hAnsi="Times New Roman"/>
        </w:rPr>
      </w:pPr>
      <w:r>
        <w:rPr>
          <w:rFonts w:ascii="Times New Roman" w:hAnsi="Times New Roman" w:cs="Times New Roman"/>
          <w:b w:val="0"/>
          <w:bCs w:val="0"/>
        </w:rPr>
        <w:t xml:space="preserve">El déficit de vitamina B12 o cianocobalamina es una condición frecuente en adultos </w:t>
      </w:r>
      <w:r w:rsidRPr="00496B14">
        <w:rPr>
          <w:rFonts w:ascii="Times New Roman" w:hAnsi="Times New Roman" w:cs="Times New Roman"/>
          <w:b w:val="0"/>
          <w:bCs w:val="0"/>
        </w:rPr>
        <w:t>mayores que reiterativamente se pasa por</w:t>
      </w:r>
      <w:r>
        <w:rPr>
          <w:rFonts w:ascii="Times New Roman" w:hAnsi="Times New Roman" w:cs="Times New Roman"/>
          <w:b w:val="0"/>
          <w:bCs w:val="0"/>
        </w:rPr>
        <w:t xml:space="preserve"> alto debido a múltiples manifestaciones clínicas que pueden afectar el sistema hematológico, neurológico, gastrointestinal, cardiovascular, piel y mucosas. Las diversas presentaciones del déficit de vitamina B12 se encuentran relacionadas con el desarrollo de síndromes geriátricos como fragilidad, caídas, deterioro </w:t>
      </w:r>
      <w:r w:rsidRPr="00172415">
        <w:rPr>
          <w:rFonts w:ascii="Times New Roman" w:hAnsi="Times New Roman" w:cs="Times New Roman"/>
          <w:b w:val="0"/>
          <w:bCs w:val="0"/>
        </w:rPr>
        <w:t>cognoscitivo</w:t>
      </w:r>
      <w:r>
        <w:rPr>
          <w:rFonts w:ascii="Times New Roman" w:hAnsi="Times New Roman" w:cs="Times New Roman"/>
          <w:b w:val="0"/>
          <w:bCs w:val="0"/>
        </w:rPr>
        <w:t>,</w:t>
      </w:r>
      <w:r w:rsidRPr="00172415">
        <w:rPr>
          <w:rFonts w:ascii="Times New Roman" w:hAnsi="Times New Roman" w:cs="Times New Roman"/>
          <w:b w:val="0"/>
          <w:bCs w:val="0"/>
        </w:rPr>
        <w:t xml:space="preserve"> síndromes nutricionales geriátricos como </w:t>
      </w:r>
      <w:r w:rsidRPr="0044044E">
        <w:rPr>
          <w:rFonts w:ascii="Times New Roman" w:hAnsi="Times New Roman"/>
          <w:b w:val="0"/>
        </w:rPr>
        <w:t xml:space="preserve">desnutrición proteicocalórica y falla para prosperar, </w:t>
      </w:r>
      <w:r>
        <w:rPr>
          <w:rFonts w:ascii="Times New Roman" w:hAnsi="Times New Roman"/>
          <w:b w:val="0"/>
        </w:rPr>
        <w:t xml:space="preserve">además de </w:t>
      </w:r>
      <w:r w:rsidRPr="0044044E">
        <w:rPr>
          <w:rFonts w:ascii="Times New Roman" w:hAnsi="Times New Roman"/>
          <w:b w:val="0"/>
        </w:rPr>
        <w:t xml:space="preserve">potenciar </w:t>
      </w:r>
      <w:r>
        <w:rPr>
          <w:rFonts w:ascii="Times New Roman" w:hAnsi="Times New Roman"/>
          <w:b w:val="0"/>
        </w:rPr>
        <w:t>la</w:t>
      </w:r>
      <w:r w:rsidRPr="0044044E">
        <w:rPr>
          <w:rFonts w:ascii="Times New Roman" w:hAnsi="Times New Roman"/>
          <w:b w:val="0"/>
        </w:rPr>
        <w:t xml:space="preserve"> anorexia del envejecimiento y caquexia</w:t>
      </w:r>
      <w:r>
        <w:rPr>
          <w:rFonts w:ascii="Times New Roman" w:hAnsi="Times New Roman" w:cs="Times New Roman"/>
          <w:b w:val="0"/>
          <w:bCs w:val="0"/>
        </w:rPr>
        <w:t>.</w:t>
      </w:r>
      <w:r w:rsidRPr="00172415">
        <w:rPr>
          <w:rFonts w:ascii="Times New Roman" w:hAnsi="Times New Roman"/>
          <w:b w:val="0"/>
        </w:rPr>
        <w:t xml:space="preserve"> Por consiguiente</w:t>
      </w:r>
      <w:r>
        <w:rPr>
          <w:rFonts w:ascii="Times New Roman" w:hAnsi="Times New Roman"/>
          <w:b w:val="0"/>
        </w:rPr>
        <w:t>,</w:t>
      </w:r>
      <w:r w:rsidRPr="00172415">
        <w:rPr>
          <w:rFonts w:ascii="Times New Roman" w:hAnsi="Times New Roman"/>
          <w:b w:val="0"/>
        </w:rPr>
        <w:t xml:space="preserve"> se deben desarrollar intervenciones que incluyan su tamizaje</w:t>
      </w:r>
      <w:r>
        <w:rPr>
          <w:rFonts w:ascii="Times New Roman" w:hAnsi="Times New Roman"/>
          <w:b w:val="0"/>
        </w:rPr>
        <w:t xml:space="preserve"> y</w:t>
      </w:r>
      <w:r w:rsidRPr="00172415">
        <w:rPr>
          <w:rFonts w:ascii="Times New Roman" w:hAnsi="Times New Roman"/>
          <w:b w:val="0"/>
        </w:rPr>
        <w:t xml:space="preserve"> diagnóstico</w:t>
      </w:r>
      <w:r>
        <w:rPr>
          <w:rFonts w:ascii="Times New Roman" w:hAnsi="Times New Roman"/>
          <w:b w:val="0"/>
        </w:rPr>
        <w:t xml:space="preserve"> con el objetivo de realizar un </w:t>
      </w:r>
      <w:r w:rsidRPr="00172415">
        <w:rPr>
          <w:rFonts w:ascii="Times New Roman" w:hAnsi="Times New Roman"/>
          <w:b w:val="0"/>
        </w:rPr>
        <w:t xml:space="preserve">tratamiento temprano y </w:t>
      </w:r>
      <w:r>
        <w:rPr>
          <w:rFonts w:ascii="Times New Roman" w:hAnsi="Times New Roman"/>
          <w:b w:val="0"/>
        </w:rPr>
        <w:t xml:space="preserve">oportuno </w:t>
      </w:r>
      <w:r w:rsidRPr="00642328">
        <w:rPr>
          <w:rFonts w:ascii="Times New Roman" w:hAnsi="Times New Roman"/>
          <w:b w:val="0"/>
        </w:rPr>
        <w:t>con para evitar que sus complicaciones se conviertan en irreversibles.</w:t>
      </w:r>
    </w:p>
    <w:p w:rsidR="002C50B5" w:rsidRPr="00180A32" w:rsidRDefault="002C50B5" w:rsidP="002C50B5">
      <w:pPr>
        <w:spacing w:line="360" w:lineRule="auto"/>
      </w:pPr>
    </w:p>
    <w:p w:rsidR="002C50B5" w:rsidRPr="005127DC" w:rsidRDefault="002C50B5" w:rsidP="002C50B5">
      <w:pPr>
        <w:autoSpaceDE w:val="0"/>
        <w:autoSpaceDN w:val="0"/>
        <w:adjustRightInd w:val="0"/>
        <w:spacing w:line="360" w:lineRule="auto"/>
        <w:jc w:val="both"/>
      </w:pPr>
      <w:r w:rsidRPr="005127DC">
        <w:rPr>
          <w:b/>
          <w:bCs/>
        </w:rPr>
        <w:t xml:space="preserve">Palabras clave: </w:t>
      </w:r>
      <w:r w:rsidRPr="005127DC">
        <w:t>Anciano; Déficit de vitamina B12; Síndromes geriátricos.</w:t>
      </w:r>
    </w:p>
    <w:p w:rsidR="002C50B5" w:rsidRPr="005127DC" w:rsidRDefault="002C50B5" w:rsidP="002C50B5">
      <w:pPr>
        <w:autoSpaceDE w:val="0"/>
        <w:autoSpaceDN w:val="0"/>
        <w:adjustRightInd w:val="0"/>
        <w:spacing w:line="360" w:lineRule="auto"/>
        <w:jc w:val="both"/>
      </w:pPr>
    </w:p>
    <w:p w:rsidR="002C50B5" w:rsidRPr="002C50B5" w:rsidRDefault="002C50B5" w:rsidP="002C50B5">
      <w:pPr>
        <w:autoSpaceDE w:val="0"/>
        <w:autoSpaceDN w:val="0"/>
        <w:adjustRightInd w:val="0"/>
        <w:spacing w:line="360" w:lineRule="auto"/>
        <w:jc w:val="both"/>
        <w:rPr>
          <w:b/>
          <w:lang w:val="en-US"/>
        </w:rPr>
      </w:pPr>
      <w:r w:rsidRPr="002C50B5">
        <w:rPr>
          <w:b/>
          <w:lang w:val="en-US"/>
        </w:rPr>
        <w:br w:type="page"/>
      </w:r>
      <w:r w:rsidRPr="002C50B5">
        <w:rPr>
          <w:b/>
          <w:lang w:val="en-US"/>
        </w:rPr>
        <w:lastRenderedPageBreak/>
        <w:t xml:space="preserve">SUMMARY </w:t>
      </w:r>
    </w:p>
    <w:p w:rsidR="002C50B5" w:rsidRDefault="002C50B5" w:rsidP="002C50B5">
      <w:pPr>
        <w:autoSpaceDE w:val="0"/>
        <w:autoSpaceDN w:val="0"/>
        <w:adjustRightInd w:val="0"/>
        <w:spacing w:line="360" w:lineRule="auto"/>
        <w:jc w:val="both"/>
        <w:rPr>
          <w:lang w:val="en-US"/>
        </w:rPr>
      </w:pPr>
    </w:p>
    <w:p w:rsidR="002C50B5" w:rsidRPr="002C50B5" w:rsidRDefault="002C50B5" w:rsidP="002C50B5">
      <w:pPr>
        <w:autoSpaceDE w:val="0"/>
        <w:autoSpaceDN w:val="0"/>
        <w:adjustRightInd w:val="0"/>
        <w:spacing w:line="360" w:lineRule="auto"/>
        <w:jc w:val="both"/>
        <w:rPr>
          <w:b/>
          <w:lang w:val="en-US"/>
        </w:rPr>
      </w:pPr>
      <w:r w:rsidRPr="005127DC">
        <w:rPr>
          <w:lang w:val="en-US"/>
        </w:rPr>
        <w:t>The deficiency of vitamin B12 or cyanocobalamin is a common condition in older adults who are repeatedly overlooked due to multiple clinical manifestations that can affect the blood, neurological, gastrointestinal, and cardiovascular systems, skin and mucous membranes. The various presentations of vitamin B12 deficiency are related to the development of geriatric syndromes such as frailty, falls, cognitive impairment, and geriatric nutritional syndromes such as protein-energy malnutrition and failure to thrive, in addition to strengthening aging anorexia and cachexia. Therefore, interventions must be developed to include their screening and diagnosis in order to make early and appropriate treatment in order to prevent its complications before they become irreversible.</w:t>
      </w:r>
      <w:r w:rsidRPr="005127DC">
        <w:rPr>
          <w:lang w:val="en-US"/>
        </w:rPr>
        <w:br/>
      </w:r>
    </w:p>
    <w:p w:rsidR="002C50B5" w:rsidRPr="005127DC" w:rsidRDefault="002C50B5" w:rsidP="002C50B5">
      <w:pPr>
        <w:autoSpaceDE w:val="0"/>
        <w:autoSpaceDN w:val="0"/>
        <w:adjustRightInd w:val="0"/>
        <w:spacing w:line="360" w:lineRule="auto"/>
        <w:jc w:val="both"/>
        <w:rPr>
          <w:b/>
          <w:lang w:val="en-US"/>
        </w:rPr>
      </w:pPr>
      <w:r w:rsidRPr="005127DC">
        <w:rPr>
          <w:b/>
          <w:lang w:val="en-US"/>
        </w:rPr>
        <w:t xml:space="preserve">Keywords: </w:t>
      </w:r>
      <w:r w:rsidRPr="005127DC">
        <w:rPr>
          <w:lang w:val="en-US"/>
        </w:rPr>
        <w:t>Elderly; Deficiency of vitamin B12; Geriatric syndromes.</w:t>
      </w:r>
    </w:p>
    <w:p w:rsidR="002C50B5" w:rsidRPr="005127DC" w:rsidRDefault="002C50B5" w:rsidP="002C50B5">
      <w:pPr>
        <w:pStyle w:val="Ttulo7"/>
        <w:spacing w:line="360" w:lineRule="auto"/>
        <w:rPr>
          <w:rFonts w:ascii="Times New Roman" w:hAnsi="Times New Roman"/>
          <w:b w:val="0"/>
          <w:bCs w:val="0"/>
          <w:lang w:val="en-US"/>
        </w:rPr>
      </w:pPr>
    </w:p>
    <w:p w:rsidR="002C50B5" w:rsidRDefault="002C50B5" w:rsidP="002C50B5">
      <w:pPr>
        <w:pStyle w:val="Ttulo6"/>
        <w:spacing w:line="360" w:lineRule="auto"/>
        <w:rPr>
          <w:rFonts w:ascii="Times New Roman" w:hAnsi="Times New Roman" w:cs="Times New Roman"/>
          <w:b w:val="0"/>
          <w:bCs w:val="0"/>
        </w:rPr>
      </w:pPr>
      <w:r w:rsidRPr="002C50B5">
        <w:rPr>
          <w:rFonts w:ascii="Times New Roman" w:hAnsi="Times New Roman" w:cs="Times New Roman"/>
          <w:b w:val="0"/>
          <w:bCs w:val="0"/>
          <w:lang w:val="es-CO"/>
        </w:rPr>
        <w:br w:type="page"/>
      </w:r>
      <w:r>
        <w:rPr>
          <w:rFonts w:ascii="Times New Roman" w:hAnsi="Times New Roman" w:cs="Times New Roman"/>
          <w:b w:val="0"/>
          <w:bCs w:val="0"/>
        </w:rPr>
        <w:lastRenderedPageBreak/>
        <w:t>El déficit de vitamina B12 o cianocobalamina (Cbl) tiene una gran variedad de manifestaciones clínicas que se encuentran reflejadas en el compromiso de diferentes sistemas orgánicos como el hematológico, neurológico, gastrointestinal, piel, mucosas y cardiovascular</w:t>
      </w:r>
      <w:r w:rsidRPr="00060A35">
        <w:rPr>
          <w:rFonts w:ascii="Times New Roman" w:hAnsi="Times New Roman" w:cs="Times New Roman"/>
          <w:b w:val="0"/>
          <w:bCs w:val="0"/>
          <w:vertAlign w:val="superscript"/>
        </w:rPr>
        <w:t>1</w:t>
      </w:r>
      <w:r>
        <w:rPr>
          <w:rFonts w:ascii="Times New Roman" w:hAnsi="Times New Roman" w:cs="Times New Roman"/>
          <w:b w:val="0"/>
          <w:bCs w:val="0"/>
        </w:rPr>
        <w:t>. Estas manifestaciones a su vez están relacionadas en la génesis de diferentes síndromes geriátricos como fragilidad, caídas, deterioro cognoscitivo y síndromes nutricionales geriátricos como la falla para prosperar y anorexia del envejecimiento</w:t>
      </w:r>
      <w:r w:rsidRPr="00060A35">
        <w:rPr>
          <w:rFonts w:ascii="Times New Roman" w:hAnsi="Times New Roman" w:cs="Times New Roman"/>
          <w:b w:val="0"/>
          <w:bCs w:val="0"/>
          <w:vertAlign w:val="superscript"/>
        </w:rPr>
        <w:t>2</w:t>
      </w:r>
      <w:r>
        <w:rPr>
          <w:rFonts w:ascii="Times New Roman" w:hAnsi="Times New Roman" w:cs="Times New Roman"/>
          <w:b w:val="0"/>
          <w:bCs w:val="0"/>
        </w:rPr>
        <w:t>.</w:t>
      </w:r>
    </w:p>
    <w:p w:rsidR="002C50B5" w:rsidRPr="00ED53DD" w:rsidRDefault="002C50B5" w:rsidP="002C50B5"/>
    <w:p w:rsidR="002C50B5" w:rsidRDefault="002C50B5" w:rsidP="002C50B5">
      <w:pPr>
        <w:pStyle w:val="Ttulo6"/>
        <w:spacing w:line="360" w:lineRule="auto"/>
        <w:rPr>
          <w:rFonts w:ascii="Times New Roman" w:hAnsi="Times New Roman" w:cs="Times New Roman"/>
          <w:bCs w:val="0"/>
        </w:rPr>
      </w:pPr>
    </w:p>
    <w:p w:rsidR="002C50B5" w:rsidRPr="00173C8E" w:rsidRDefault="002C50B5" w:rsidP="002C50B5">
      <w:pPr>
        <w:pStyle w:val="Ttulo6"/>
        <w:spacing w:line="360" w:lineRule="auto"/>
        <w:rPr>
          <w:rFonts w:ascii="Times New Roman" w:hAnsi="Times New Roman" w:cs="Times New Roman"/>
          <w:bCs w:val="0"/>
        </w:rPr>
      </w:pPr>
      <w:r>
        <w:rPr>
          <w:rFonts w:ascii="Times New Roman" w:hAnsi="Times New Roman" w:cs="Times New Roman"/>
          <w:bCs w:val="0"/>
        </w:rPr>
        <w:t>REPORTE</w:t>
      </w:r>
      <w:r w:rsidRPr="00173C8E">
        <w:rPr>
          <w:rFonts w:ascii="Times New Roman" w:hAnsi="Times New Roman" w:cs="Times New Roman"/>
          <w:bCs w:val="0"/>
        </w:rPr>
        <w:t xml:space="preserve"> DEL </w:t>
      </w:r>
      <w:r>
        <w:rPr>
          <w:rFonts w:ascii="Times New Roman" w:hAnsi="Times New Roman" w:cs="Times New Roman"/>
          <w:bCs w:val="0"/>
        </w:rPr>
        <w:t>CASO</w:t>
      </w:r>
    </w:p>
    <w:p w:rsidR="002C50B5" w:rsidRPr="00173C8E" w:rsidRDefault="002C50B5" w:rsidP="002C50B5">
      <w:pPr>
        <w:spacing w:line="360" w:lineRule="auto"/>
        <w:jc w:val="both"/>
      </w:pPr>
    </w:p>
    <w:p w:rsidR="002C50B5" w:rsidRDefault="002C50B5" w:rsidP="002C50B5">
      <w:pPr>
        <w:spacing w:line="360" w:lineRule="auto"/>
        <w:ind w:firstLine="284"/>
        <w:jc w:val="both"/>
      </w:pPr>
      <w:r w:rsidRPr="00173C8E">
        <w:t xml:space="preserve">Mujer de </w:t>
      </w:r>
      <w:r>
        <w:t>71</w:t>
      </w:r>
      <w:r w:rsidRPr="00173C8E">
        <w:t xml:space="preserve"> años</w:t>
      </w:r>
      <w:r>
        <w:t xml:space="preserve"> ingresada a hospitalización por anemia, incoordinación motora, trastorno de la marcha, debilidad y declinación de su estado funcional. Se encontraba asintomática 8 </w:t>
      </w:r>
      <w:r w:rsidRPr="004B67F8">
        <w:t>meses atrás del día que fue hospitalizada, cuando presenta</w:t>
      </w:r>
      <w:r>
        <w:t xml:space="preserve"> astenia, adinamia, hiporexia, síntomas de mareo y vértigo</w:t>
      </w:r>
      <w:r w:rsidRPr="00173C8E">
        <w:t xml:space="preserve">. </w:t>
      </w:r>
      <w:r>
        <w:t xml:space="preserve">Seis meses antes del </w:t>
      </w:r>
      <w:r w:rsidRPr="004B67F8">
        <w:t>ingreso los síntomas</w:t>
      </w:r>
      <w:r>
        <w:t xml:space="preserve"> se </w:t>
      </w:r>
      <w:r w:rsidRPr="004B67F8">
        <w:t>incrementan</w:t>
      </w:r>
      <w:r>
        <w:t>,</w:t>
      </w:r>
      <w:r w:rsidRPr="004B67F8">
        <w:t xml:space="preserve"> con aparición de</w:t>
      </w:r>
      <w:r>
        <w:t xml:space="preserve"> pérdida del </w:t>
      </w:r>
      <w:r w:rsidRPr="004B67F8">
        <w:t>equilibrio e</w:t>
      </w:r>
      <w:r>
        <w:rPr>
          <w:b/>
          <w:color w:val="FF5050"/>
        </w:rPr>
        <w:t xml:space="preserve"> </w:t>
      </w:r>
      <w:r>
        <w:t xml:space="preserve">inestabilidad postural. Desarrolla también deterioro para la marcha, con caídas a repetición, lo cual la llevó a no volver a caminar por miedo a caer, haciendo que sus actividades de la vida diaria </w:t>
      </w:r>
      <w:r w:rsidRPr="0050179B">
        <w:t>en el aspecto físico</w:t>
      </w:r>
      <w:r>
        <w:t xml:space="preserve"> se limitaran a traslados de silla a cama. </w:t>
      </w:r>
      <w:r w:rsidRPr="0050179B">
        <w:t>De igual manera notaba</w:t>
      </w:r>
      <w:r>
        <w:t xml:space="preserve"> que al flexionar el cuello, presentaba sensación de descarga eléctrica irradiada desde la espalda hasta las piernas</w:t>
      </w:r>
      <w:r w:rsidRPr="00173C8E">
        <w:t xml:space="preserve">. </w:t>
      </w:r>
      <w:r>
        <w:t xml:space="preserve">Dos meses previos al ingreso hospitalario presenta aparición de lesiones en lengua que le producen sensación de quemazón y dolor al deglutir alimentos que la lleva a disminución en la ingesta y pérdida aproximada de 5 </w:t>
      </w:r>
      <w:r w:rsidRPr="0050179B">
        <w:t>kilogramos aunado a un desarrollo</w:t>
      </w:r>
      <w:r>
        <w:t xml:space="preserve"> de mayor sensación de debilidad en su estado general. Consulta a</w:t>
      </w:r>
      <w:r w:rsidRPr="0050179B">
        <w:t xml:space="preserve">l </w:t>
      </w:r>
      <w:r>
        <w:t>hospital local, donde la envían con diagnósticos de paraparesia y anemia para continuar estudios.</w:t>
      </w:r>
    </w:p>
    <w:p w:rsidR="002C50B5" w:rsidRPr="00173C8E" w:rsidRDefault="002C50B5" w:rsidP="002C50B5">
      <w:pPr>
        <w:pStyle w:val="Textoindependiente"/>
        <w:spacing w:line="360" w:lineRule="auto"/>
        <w:ind w:firstLine="284"/>
        <w:rPr>
          <w:rFonts w:ascii="Times New Roman" w:hAnsi="Times New Roman"/>
        </w:rPr>
      </w:pPr>
      <w:r w:rsidRPr="00103028">
        <w:rPr>
          <w:rFonts w:ascii="Times New Roman" w:hAnsi="Times New Roman"/>
        </w:rPr>
        <w:t xml:space="preserve">Como antecedentes personales presentaba hipertensión arterial manejada con captopril 50 mg cada 12 horas. </w:t>
      </w:r>
      <w:r>
        <w:rPr>
          <w:rFonts w:ascii="Times New Roman" w:hAnsi="Times New Roman"/>
        </w:rPr>
        <w:t xml:space="preserve">No refería consumo de alcohol ni hábitos dietéticos vegetarianos. </w:t>
      </w:r>
      <w:r w:rsidRPr="00103028">
        <w:rPr>
          <w:rFonts w:ascii="Times New Roman" w:hAnsi="Times New Roman"/>
        </w:rPr>
        <w:t xml:space="preserve">Sin otros antecedentes </w:t>
      </w:r>
      <w:r>
        <w:rPr>
          <w:rFonts w:ascii="Times New Roman" w:hAnsi="Times New Roman"/>
        </w:rPr>
        <w:t xml:space="preserve">personales o familiares </w:t>
      </w:r>
      <w:r w:rsidRPr="00103028">
        <w:rPr>
          <w:rFonts w:ascii="Times New Roman" w:hAnsi="Times New Roman"/>
        </w:rPr>
        <w:t>de importancia.</w:t>
      </w:r>
    </w:p>
    <w:p w:rsidR="002C50B5" w:rsidRDefault="002C50B5" w:rsidP="002C50B5">
      <w:pPr>
        <w:spacing w:line="360" w:lineRule="auto"/>
        <w:ind w:firstLine="284"/>
        <w:jc w:val="both"/>
      </w:pPr>
      <w:r w:rsidRPr="00EC74FB">
        <w:rPr>
          <w:bCs/>
        </w:rPr>
        <w:t>Al examen</w:t>
      </w:r>
      <w:r w:rsidRPr="00173C8E">
        <w:rPr>
          <w:bCs/>
        </w:rPr>
        <w:t xml:space="preserve"> físico</w:t>
      </w:r>
      <w:r>
        <w:rPr>
          <w:bCs/>
        </w:rPr>
        <w:t xml:space="preserve"> de ingreso a hospitalización, se encontraba en regular estado general, </w:t>
      </w:r>
      <w:proofErr w:type="gramStart"/>
      <w:r>
        <w:rPr>
          <w:bCs/>
        </w:rPr>
        <w:t>pálida</w:t>
      </w:r>
      <w:proofErr w:type="gramEnd"/>
      <w:r>
        <w:rPr>
          <w:bCs/>
        </w:rPr>
        <w:t xml:space="preserve"> y con pérdida marcada de masa muscular. La </w:t>
      </w:r>
      <w:r w:rsidRPr="00173C8E">
        <w:rPr>
          <w:bCs/>
        </w:rPr>
        <w:t>presión arterial de 130/</w:t>
      </w:r>
      <w:r>
        <w:rPr>
          <w:bCs/>
        </w:rPr>
        <w:t>8</w:t>
      </w:r>
      <w:r w:rsidRPr="00173C8E">
        <w:rPr>
          <w:bCs/>
        </w:rPr>
        <w:t>0 mm/Hg,</w:t>
      </w:r>
      <w:r>
        <w:rPr>
          <w:bCs/>
        </w:rPr>
        <w:t xml:space="preserve"> sin ortostatismo,</w:t>
      </w:r>
      <w:r w:rsidRPr="00173C8E">
        <w:rPr>
          <w:bCs/>
        </w:rPr>
        <w:t xml:space="preserve"> f</w:t>
      </w:r>
      <w:r w:rsidRPr="00173C8E">
        <w:t>recuencia respiratoria 1</w:t>
      </w:r>
      <w:r>
        <w:t>7</w:t>
      </w:r>
      <w:r w:rsidRPr="00173C8E">
        <w:t xml:space="preserve"> por minuto y frecuencia cardíaca 8</w:t>
      </w:r>
      <w:r>
        <w:t>5</w:t>
      </w:r>
      <w:r w:rsidRPr="00173C8E">
        <w:t xml:space="preserve"> por minuto. </w:t>
      </w:r>
      <w:r>
        <w:t xml:space="preserve">El peso previo al desarrollo de enfermedad era de 70 kg y el actual 60 kg, talla 1,65. En </w:t>
      </w:r>
      <w:r>
        <w:lastRenderedPageBreak/>
        <w:t>cavidad oral se observaba lengua lisa, brillante, rojiza, depapilada y con ulceración a nivel lateral (F</w:t>
      </w:r>
      <w:r w:rsidRPr="00134E24">
        <w:t xml:space="preserve">igura 1 </w:t>
      </w:r>
      <w:r>
        <w:t>A</w:t>
      </w:r>
      <w:r w:rsidRPr="00134E24">
        <w:t xml:space="preserve"> y </w:t>
      </w:r>
      <w:r>
        <w:t>B)</w:t>
      </w:r>
      <w:r w:rsidRPr="00134E24">
        <w:t>.</w:t>
      </w:r>
      <w:r>
        <w:t xml:space="preserve"> </w:t>
      </w:r>
    </w:p>
    <w:p w:rsidR="002C50B5" w:rsidRDefault="002C50B5" w:rsidP="002C50B5">
      <w:pPr>
        <w:spacing w:line="360" w:lineRule="auto"/>
        <w:ind w:firstLine="284"/>
        <w:jc w:val="both"/>
      </w:pPr>
      <w:r>
        <w:t xml:space="preserve">El examen </w:t>
      </w:r>
      <w:r w:rsidRPr="00C63325">
        <w:t xml:space="preserve">neurológico </w:t>
      </w:r>
      <w:r>
        <w:t>se</w:t>
      </w:r>
      <w:r w:rsidRPr="00C63325">
        <w:t xml:space="preserve"> mostraba alerta</w:t>
      </w:r>
      <w:r>
        <w:t xml:space="preserve"> y orientada en tres esferas, no había compromiso de pares craneales ni movimientos anormales. Presentaba debilidad muscular grado 3/5 y espasticidad en las cuatro extremidades, tono y trofismo disminuidos. El sistema sensitivo superficial, tacto, dolor y temperatura eran normales. La sensibilidad profunda se encontraba alterada, con </w:t>
      </w:r>
      <w:r w:rsidRPr="003232A2">
        <w:t xml:space="preserve">ausencia </w:t>
      </w:r>
      <w:r>
        <w:t>para</w:t>
      </w:r>
      <w:r w:rsidRPr="003232A2">
        <w:t xml:space="preserve"> la sensación vibratoria</w:t>
      </w:r>
      <w:r>
        <w:t xml:space="preserve"> </w:t>
      </w:r>
      <w:r w:rsidRPr="003232A2">
        <w:t xml:space="preserve">del sentido de posición en miembros superiores e inferiores, </w:t>
      </w:r>
      <w:r>
        <w:t xml:space="preserve">parestesias </w:t>
      </w:r>
      <w:r w:rsidRPr="003232A2">
        <w:t>e</w:t>
      </w:r>
      <w:r>
        <w:t>n</w:t>
      </w:r>
      <w:r w:rsidRPr="003232A2">
        <w:t xml:space="preserve"> manos y pies y signo de Lhermitte</w:t>
      </w:r>
      <w:r>
        <w:t xml:space="preserve"> positivo.</w:t>
      </w:r>
      <w:r w:rsidRPr="00540755">
        <w:t xml:space="preserve"> </w:t>
      </w:r>
      <w:r>
        <w:t xml:space="preserve">La marcha era característica de ataxia sensorial con inestabilidad </w:t>
      </w:r>
      <w:r w:rsidRPr="003232A2">
        <w:t>postural, polígono de sustentación amplio</w:t>
      </w:r>
      <w:r>
        <w:t xml:space="preserve">, </w:t>
      </w:r>
      <w:r w:rsidRPr="003232A2">
        <w:t>signo de Romberg positivo</w:t>
      </w:r>
      <w:r>
        <w:t xml:space="preserve">, </w:t>
      </w:r>
      <w:r w:rsidRPr="003232A2">
        <w:t>reflejos osteotendinosos</w:t>
      </w:r>
      <w:r>
        <w:t xml:space="preserve"> disminuidos en especial en miembros inferiores y reflejo plantar flexor bilateral presente</w:t>
      </w:r>
      <w:r w:rsidRPr="003232A2">
        <w:t>.</w:t>
      </w:r>
      <w:r>
        <w:t xml:space="preserve"> Se le realizaron diferentes estudios paraclínicos  (Cuadro 1). También se le practic</w:t>
      </w:r>
      <w:r w:rsidRPr="00EA4301">
        <w:t xml:space="preserve">ó </w:t>
      </w:r>
      <w:r>
        <w:t>un parcial de orina, serología y prueba de Coombs directa en parámetros de normalidad. Además un extendido de sangre donde se evidenció en la serie roja anisocitosis, macrocitosis y poiquilocitosis. Serie blanca con neutrófilos hipersegmentados y serie plaquetaria sin alteraciones. Se realiz</w:t>
      </w:r>
      <w:r w:rsidRPr="00EA4301">
        <w:t xml:space="preserve">ó </w:t>
      </w:r>
      <w:r>
        <w:t xml:space="preserve">una endoscopia digestiva alta donde la biopsia mostró gastritis crónica atrófica con </w:t>
      </w:r>
      <w:r w:rsidRPr="000B228F">
        <w:rPr>
          <w:i/>
        </w:rPr>
        <w:t>Helicobacter pylori</w:t>
      </w:r>
      <w:r>
        <w:t xml:space="preserve"> positivo.</w:t>
      </w:r>
    </w:p>
    <w:p w:rsidR="002C50B5" w:rsidRPr="002640FC" w:rsidRDefault="002C50B5" w:rsidP="002C50B5">
      <w:pPr>
        <w:pStyle w:val="Textoindependiente"/>
        <w:spacing w:line="360" w:lineRule="auto"/>
        <w:ind w:firstLine="284"/>
        <w:rPr>
          <w:rFonts w:ascii="Times New Roman" w:hAnsi="Times New Roman"/>
          <w:bCs/>
        </w:rPr>
      </w:pPr>
      <w:r w:rsidRPr="00EA4301">
        <w:rPr>
          <w:rFonts w:ascii="Times New Roman" w:hAnsi="Times New Roman"/>
          <w:bCs/>
        </w:rPr>
        <w:t xml:space="preserve">Se </w:t>
      </w:r>
      <w:r>
        <w:rPr>
          <w:rFonts w:ascii="Times New Roman" w:hAnsi="Times New Roman"/>
          <w:bCs/>
        </w:rPr>
        <w:t xml:space="preserve">aplicaron escalas de valoración </w:t>
      </w:r>
      <w:r w:rsidRPr="002640FC">
        <w:rPr>
          <w:rFonts w:ascii="Times New Roman" w:hAnsi="Times New Roman"/>
          <w:bCs/>
        </w:rPr>
        <w:t xml:space="preserve">geriátrica dentro de las cuales se tienen: examen mínimo mental </w:t>
      </w:r>
      <w:r>
        <w:rPr>
          <w:rFonts w:ascii="Times New Roman" w:hAnsi="Times New Roman"/>
          <w:bCs/>
        </w:rPr>
        <w:t>28</w:t>
      </w:r>
      <w:r w:rsidRPr="002640FC">
        <w:rPr>
          <w:rFonts w:ascii="Times New Roman" w:hAnsi="Times New Roman"/>
          <w:bCs/>
        </w:rPr>
        <w:t xml:space="preserve">/30, escala de depresión geriátrica 4/15, </w:t>
      </w:r>
      <w:r w:rsidRPr="002640FC">
        <w:rPr>
          <w:rFonts w:ascii="Times New Roman" w:hAnsi="Times New Roman"/>
        </w:rPr>
        <w:t>actividades de la vida diaria en el aspecto físico</w:t>
      </w:r>
      <w:r>
        <w:rPr>
          <w:rFonts w:ascii="Times New Roman" w:hAnsi="Times New Roman"/>
        </w:rPr>
        <w:t xml:space="preserve"> mediante </w:t>
      </w:r>
      <w:r w:rsidRPr="002640FC">
        <w:rPr>
          <w:rFonts w:ascii="Times New Roman" w:hAnsi="Times New Roman"/>
        </w:rPr>
        <w:t>la escala de Bar</w:t>
      </w:r>
      <w:r w:rsidRPr="002640FC">
        <w:rPr>
          <w:rFonts w:ascii="Times New Roman" w:hAnsi="Times New Roman"/>
          <w:bCs/>
        </w:rPr>
        <w:t>thel 6</w:t>
      </w:r>
      <w:r>
        <w:rPr>
          <w:rFonts w:ascii="Times New Roman" w:hAnsi="Times New Roman"/>
          <w:bCs/>
        </w:rPr>
        <w:t>0</w:t>
      </w:r>
      <w:r w:rsidRPr="002640FC">
        <w:rPr>
          <w:rFonts w:ascii="Times New Roman" w:hAnsi="Times New Roman"/>
          <w:bCs/>
        </w:rPr>
        <w:t>/100</w:t>
      </w:r>
      <w:r>
        <w:rPr>
          <w:rFonts w:ascii="Times New Roman" w:hAnsi="Times New Roman"/>
          <w:bCs/>
        </w:rPr>
        <w:t xml:space="preserve">, </w:t>
      </w:r>
      <w:r w:rsidRPr="002640FC">
        <w:rPr>
          <w:rFonts w:ascii="Times New Roman" w:hAnsi="Times New Roman"/>
          <w:bCs/>
        </w:rPr>
        <w:t xml:space="preserve">escala de riesgo para caídas de </w:t>
      </w:r>
      <w:r>
        <w:rPr>
          <w:rFonts w:ascii="Times New Roman" w:hAnsi="Times New Roman"/>
          <w:bCs/>
        </w:rPr>
        <w:t>JH D</w:t>
      </w:r>
      <w:r w:rsidRPr="002640FC">
        <w:rPr>
          <w:rFonts w:ascii="Times New Roman" w:hAnsi="Times New Roman"/>
          <w:bCs/>
        </w:rPr>
        <w:t>ownton</w:t>
      </w:r>
      <w:r>
        <w:rPr>
          <w:rFonts w:ascii="Times New Roman" w:hAnsi="Times New Roman"/>
          <w:bCs/>
        </w:rPr>
        <w:t xml:space="preserve"> 3 puntos y evaluación del estado nutricional a través del </w:t>
      </w:r>
      <w:r w:rsidRPr="00FD76CE">
        <w:rPr>
          <w:rFonts w:ascii="Times New Roman" w:hAnsi="Times New Roman"/>
          <w:bCs/>
        </w:rPr>
        <w:t>mini</w:t>
      </w:r>
      <w:r>
        <w:rPr>
          <w:rFonts w:ascii="Times New Roman" w:hAnsi="Times New Roman"/>
          <w:bCs/>
        </w:rPr>
        <w:t>-</w:t>
      </w:r>
      <w:r w:rsidRPr="00FD76CE">
        <w:rPr>
          <w:rFonts w:ascii="Times New Roman" w:hAnsi="Times New Roman"/>
          <w:bCs/>
        </w:rPr>
        <w:t>nutritional assessment</w:t>
      </w:r>
      <w:r>
        <w:rPr>
          <w:rFonts w:ascii="Times New Roman" w:hAnsi="Times New Roman"/>
          <w:bCs/>
        </w:rPr>
        <w:t xml:space="preserve"> 16/30 puntos.</w:t>
      </w:r>
    </w:p>
    <w:p w:rsidR="002C50B5" w:rsidRDefault="002C50B5" w:rsidP="002C50B5">
      <w:pPr>
        <w:pStyle w:val="Textoindependiente"/>
        <w:spacing w:line="360" w:lineRule="auto"/>
        <w:ind w:firstLine="284"/>
        <w:rPr>
          <w:rFonts w:ascii="Times New Roman" w:hAnsi="Times New Roman"/>
          <w:bCs/>
        </w:rPr>
      </w:pPr>
      <w:r>
        <w:rPr>
          <w:rFonts w:ascii="Times New Roman" w:hAnsi="Times New Roman"/>
          <w:bCs/>
        </w:rPr>
        <w:t>Se realizó diagnóstico de déficit de vitamina B12 con manifestaciones hematológicas dadas por anemia macrocítica, neurológicas por marcha atáxica y en piel y mucosas por glositis de Hunter.</w:t>
      </w:r>
    </w:p>
    <w:p w:rsidR="002C50B5" w:rsidRDefault="002C50B5" w:rsidP="002C50B5">
      <w:pPr>
        <w:pStyle w:val="Textoindependiente"/>
        <w:spacing w:line="360" w:lineRule="auto"/>
        <w:ind w:firstLine="284"/>
        <w:rPr>
          <w:rFonts w:ascii="Times New Roman" w:hAnsi="Times New Roman"/>
        </w:rPr>
      </w:pPr>
      <w:r>
        <w:rPr>
          <w:rFonts w:ascii="Times New Roman" w:hAnsi="Times New Roman"/>
          <w:bCs/>
        </w:rPr>
        <w:t xml:space="preserve">Debido a las alteraciones neurológicas en asocio con la marcha de características atáxica y niveles bajos de vitamina B12, se decidió solicitar una resonancia magnética nuclear de </w:t>
      </w:r>
      <w:r w:rsidRPr="00026A12">
        <w:rPr>
          <w:rFonts w:ascii="Times New Roman" w:hAnsi="Times New Roman"/>
        </w:rPr>
        <w:t>columna cervical y torácica</w:t>
      </w:r>
      <w:r>
        <w:rPr>
          <w:rFonts w:ascii="Times New Roman" w:hAnsi="Times New Roman"/>
        </w:rPr>
        <w:t>, donde se documentaron imágenes compatibles con degeneración combinada subaguda de la medula (Figura 2).</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Se inici</w:t>
      </w:r>
      <w:r w:rsidRPr="008C3969">
        <w:rPr>
          <w:rFonts w:ascii="Times New Roman" w:hAnsi="Times New Roman"/>
        </w:rPr>
        <w:t>ó</w:t>
      </w:r>
      <w:r>
        <w:rPr>
          <w:rFonts w:ascii="Times New Roman" w:hAnsi="Times New Roman"/>
        </w:rPr>
        <w:t xml:space="preserve"> reemplazo </w:t>
      </w:r>
      <w:r w:rsidRPr="009510C3">
        <w:rPr>
          <w:rFonts w:ascii="Times New Roman" w:hAnsi="Times New Roman"/>
        </w:rPr>
        <w:t xml:space="preserve">con </w:t>
      </w:r>
      <w:r w:rsidRPr="009510C3">
        <w:rPr>
          <w:rFonts w:ascii="Times New Roman" w:hAnsi="Times New Roman"/>
          <w:bCs/>
        </w:rPr>
        <w:t>Cbl</w:t>
      </w:r>
      <w:r w:rsidRPr="009510C3">
        <w:rPr>
          <w:rFonts w:ascii="Times New Roman" w:hAnsi="Times New Roman"/>
        </w:rPr>
        <w:t xml:space="preserve"> presentando</w:t>
      </w:r>
      <w:r>
        <w:rPr>
          <w:rFonts w:ascii="Times New Roman" w:hAnsi="Times New Roman"/>
        </w:rPr>
        <w:t xml:space="preserve"> a las tres semanas ascenso en valores de hemoglobina con descenso niveles de lactato deshidrogenesa que indicó mejoría en la </w:t>
      </w:r>
      <w:r>
        <w:rPr>
          <w:rFonts w:ascii="Times New Roman" w:hAnsi="Times New Roman"/>
        </w:rPr>
        <w:lastRenderedPageBreak/>
        <w:t xml:space="preserve">eritropoyesis inefectiva. La glositis resolvió al mes de instaurado la reposición con </w:t>
      </w:r>
      <w:r w:rsidRPr="009510C3">
        <w:rPr>
          <w:rFonts w:ascii="Times New Roman" w:hAnsi="Times New Roman"/>
          <w:bCs/>
        </w:rPr>
        <w:t>Cbl</w:t>
      </w:r>
      <w:r w:rsidRPr="00384DCA">
        <w:rPr>
          <w:rFonts w:ascii="Times New Roman" w:hAnsi="Times New Roman"/>
        </w:rPr>
        <w:t xml:space="preserve"> </w:t>
      </w:r>
      <w:r>
        <w:rPr>
          <w:rFonts w:ascii="Times New Roman" w:hAnsi="Times New Roman"/>
        </w:rPr>
        <w:t>(F</w:t>
      </w:r>
      <w:r w:rsidRPr="007D6B6E">
        <w:rPr>
          <w:rFonts w:ascii="Times New Roman" w:hAnsi="Times New Roman"/>
        </w:rPr>
        <w:t xml:space="preserve">igura 1 </w:t>
      </w:r>
      <w:r>
        <w:rPr>
          <w:rFonts w:ascii="Times New Roman" w:hAnsi="Times New Roman"/>
        </w:rPr>
        <w:t>C</w:t>
      </w:r>
      <w:r w:rsidRPr="007D6B6E">
        <w:rPr>
          <w:rFonts w:ascii="Times New Roman" w:hAnsi="Times New Roman"/>
        </w:rPr>
        <w:t xml:space="preserve"> y </w:t>
      </w:r>
      <w:r>
        <w:rPr>
          <w:rFonts w:ascii="Times New Roman" w:hAnsi="Times New Roman"/>
        </w:rPr>
        <w:t>D)</w:t>
      </w:r>
      <w:r w:rsidRPr="007D6B6E">
        <w:rPr>
          <w:rFonts w:ascii="Times New Roman" w:hAnsi="Times New Roman"/>
        </w:rPr>
        <w:t>.</w:t>
      </w:r>
      <w:r>
        <w:rPr>
          <w:rFonts w:ascii="Times New Roman" w:hAnsi="Times New Roman"/>
        </w:rPr>
        <w:t xml:space="preserve"> Al tercer mes de tratamiento obtuvo mejoría en la marcha siendo independiente, así como también en la sintomatología sensitiva.</w:t>
      </w:r>
    </w:p>
    <w:p w:rsidR="002C50B5" w:rsidRDefault="002C50B5" w:rsidP="002C50B5">
      <w:pPr>
        <w:spacing w:line="360" w:lineRule="auto"/>
        <w:jc w:val="both"/>
        <w:rPr>
          <w:b/>
        </w:rPr>
      </w:pPr>
    </w:p>
    <w:p w:rsidR="002C50B5" w:rsidRDefault="002C50B5" w:rsidP="002C50B5">
      <w:pPr>
        <w:spacing w:line="360" w:lineRule="auto"/>
        <w:jc w:val="both"/>
        <w:rPr>
          <w:b/>
        </w:rPr>
      </w:pPr>
      <w:r w:rsidRPr="00173C8E">
        <w:rPr>
          <w:b/>
        </w:rPr>
        <w:t>DISCUSIÓN</w:t>
      </w:r>
    </w:p>
    <w:p w:rsidR="002C50B5" w:rsidRPr="00173C8E" w:rsidRDefault="002C50B5" w:rsidP="002C50B5">
      <w:pPr>
        <w:spacing w:line="360" w:lineRule="auto"/>
        <w:jc w:val="both"/>
        <w:rPr>
          <w:b/>
        </w:rPr>
      </w:pP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La primera descripción del déficit de vitamina B12 fue realizada por el médico ing</w:t>
      </w:r>
      <w:r w:rsidRPr="008C3969">
        <w:rPr>
          <w:rFonts w:ascii="Times New Roman" w:hAnsi="Times New Roman"/>
        </w:rPr>
        <w:t>lés</w:t>
      </w:r>
      <w:r>
        <w:rPr>
          <w:rFonts w:ascii="Times New Roman" w:hAnsi="Times New Roman"/>
        </w:rPr>
        <w:t xml:space="preserve"> Thomas Addison en el año 1855, </w:t>
      </w:r>
      <w:r w:rsidRPr="008C3969">
        <w:rPr>
          <w:rFonts w:ascii="Times New Roman" w:hAnsi="Times New Roman"/>
        </w:rPr>
        <w:t>quien la denominó anemia</w:t>
      </w:r>
      <w:r>
        <w:rPr>
          <w:rFonts w:ascii="Times New Roman" w:hAnsi="Times New Roman"/>
        </w:rPr>
        <w:t xml:space="preserve"> perniciosa y fue descrita como una enfermedad que se manifestaba con anemia macrocítica, glositis y síntomas neurológicos, similares al caso presentado</w:t>
      </w:r>
      <w:r w:rsidRPr="00A66C93">
        <w:rPr>
          <w:rFonts w:ascii="Times New Roman" w:hAnsi="Times New Roman"/>
          <w:vertAlign w:val="superscript"/>
        </w:rPr>
        <w:t>3</w:t>
      </w:r>
      <w:r>
        <w:rPr>
          <w:rFonts w:ascii="Times New Roman" w:hAnsi="Times New Roman"/>
        </w:rPr>
        <w:t>.</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La vitamina B12 hace parte del grupo de vitaminas hidrosolubles, un nutriente esencial que debe ser obtenido mediante la dieta. Esta vitamina ejerce su acción fisiológica a través de dos vías enzimáticas</w:t>
      </w:r>
      <w:r w:rsidRPr="00B8298B">
        <w:rPr>
          <w:rFonts w:ascii="Times New Roman" w:hAnsi="Times New Roman"/>
        </w:rPr>
        <w:t xml:space="preserve">: </w:t>
      </w:r>
      <w:r>
        <w:rPr>
          <w:rFonts w:ascii="Times New Roman" w:hAnsi="Times New Roman"/>
        </w:rPr>
        <w:t>l</w:t>
      </w:r>
      <w:r w:rsidRPr="00B8298B">
        <w:rPr>
          <w:rFonts w:ascii="Times New Roman" w:hAnsi="Times New Roman"/>
        </w:rPr>
        <w:t>a</w:t>
      </w:r>
      <w:r>
        <w:rPr>
          <w:rFonts w:ascii="Times New Roman" w:hAnsi="Times New Roman"/>
        </w:rPr>
        <w:t xml:space="preserve"> primera </w:t>
      </w:r>
      <w:r w:rsidRPr="00B8298B">
        <w:rPr>
          <w:rFonts w:ascii="Times New Roman" w:hAnsi="Times New Roman"/>
        </w:rPr>
        <w:t>actúa</w:t>
      </w:r>
      <w:r>
        <w:rPr>
          <w:rFonts w:ascii="Times New Roman" w:hAnsi="Times New Roman"/>
        </w:rPr>
        <w:t xml:space="preserve"> como co-factor para la enzima metionina sintetasa que convierte la homocisteina en metionina y la </w:t>
      </w:r>
      <w:r w:rsidRPr="00B8298B">
        <w:rPr>
          <w:rFonts w:ascii="Times New Roman" w:hAnsi="Times New Roman"/>
        </w:rPr>
        <w:t>segunda que actúa</w:t>
      </w:r>
      <w:r>
        <w:rPr>
          <w:rFonts w:ascii="Times New Roman" w:hAnsi="Times New Roman"/>
          <w:color w:val="FF5050"/>
        </w:rPr>
        <w:t xml:space="preserve"> </w:t>
      </w:r>
      <w:r>
        <w:rPr>
          <w:rFonts w:ascii="Times New Roman" w:hAnsi="Times New Roman"/>
        </w:rPr>
        <w:t>sobre la enzima L-metilmalonil Coenzima A (CoA) mutasa para la conversión de metilmalonil CoA a succionil CoA</w:t>
      </w:r>
      <w:r w:rsidRPr="0063114B">
        <w:rPr>
          <w:rFonts w:ascii="Times New Roman" w:hAnsi="Times New Roman"/>
          <w:vertAlign w:val="superscript"/>
        </w:rPr>
        <w:t>4</w:t>
      </w:r>
      <w:r>
        <w:rPr>
          <w:rFonts w:ascii="Times New Roman" w:hAnsi="Times New Roman"/>
        </w:rPr>
        <w:t xml:space="preserve">. De esta manera el déficit de B12 puede llevar al incremento en la homocisteina, </w:t>
      </w:r>
      <w:r w:rsidRPr="00B8298B">
        <w:rPr>
          <w:rFonts w:ascii="Times New Roman" w:hAnsi="Times New Roman"/>
        </w:rPr>
        <w:t>la cual tiene</w:t>
      </w:r>
      <w:r>
        <w:rPr>
          <w:rFonts w:ascii="Times New Roman" w:hAnsi="Times New Roman"/>
        </w:rPr>
        <w:t xml:space="preserve"> acción vasculotóxica, neurotóxica y cancerígena y del ácido metilmalonico con efectos neurotóxicos que afecta las vainas de mielina y axones</w:t>
      </w:r>
      <w:r w:rsidRPr="0063114B">
        <w:rPr>
          <w:rFonts w:ascii="Times New Roman" w:hAnsi="Times New Roman"/>
          <w:vertAlign w:val="superscript"/>
        </w:rPr>
        <w:t>4</w:t>
      </w:r>
      <w:r>
        <w:rPr>
          <w:rFonts w:ascii="Times New Roman" w:hAnsi="Times New Roman"/>
        </w:rPr>
        <w:t>.</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 xml:space="preserve">Por otro lado, una dieta típica de un país occidental ofrece entre 5 y 15 </w:t>
      </w:r>
      <w:r>
        <w:rPr>
          <w:rFonts w:ascii="Symbol" w:hAnsi="Symbol"/>
        </w:rPr>
        <w:t></w:t>
      </w:r>
      <w:r>
        <w:rPr>
          <w:rFonts w:ascii="Times New Roman" w:hAnsi="Times New Roman"/>
        </w:rPr>
        <w:t xml:space="preserve">g de vitamina B12 al día. La ingesta dietética recomendada para vitamina B12 es de 2 a 3 </w:t>
      </w:r>
      <w:r>
        <w:rPr>
          <w:rFonts w:ascii="Symbol" w:hAnsi="Symbol"/>
        </w:rPr>
        <w:t></w:t>
      </w:r>
      <w:r>
        <w:rPr>
          <w:rFonts w:ascii="Times New Roman" w:hAnsi="Times New Roman"/>
        </w:rPr>
        <w:t>g/día y l</w:t>
      </w:r>
      <w:r w:rsidRPr="00B86DC8">
        <w:rPr>
          <w:rFonts w:ascii="Times New Roman" w:hAnsi="Times New Roman"/>
          <w:color w:val="231F20"/>
        </w:rPr>
        <w:t>a</w:t>
      </w:r>
      <w:r>
        <w:rPr>
          <w:rFonts w:ascii="Times New Roman" w:hAnsi="Times New Roman"/>
          <w:color w:val="231F20"/>
        </w:rPr>
        <w:t>s</w:t>
      </w:r>
      <w:r w:rsidRPr="00B86DC8">
        <w:rPr>
          <w:rFonts w:ascii="Times New Roman" w:hAnsi="Times New Roman"/>
          <w:color w:val="231F20"/>
        </w:rPr>
        <w:t xml:space="preserve"> reservas corporales son de 2 a 5</w:t>
      </w:r>
      <w:r>
        <w:rPr>
          <w:rFonts w:ascii="Times New Roman" w:hAnsi="Times New Roman"/>
          <w:color w:val="231F20"/>
        </w:rPr>
        <w:t xml:space="preserve"> mg. P</w:t>
      </w:r>
      <w:r>
        <w:rPr>
          <w:rFonts w:ascii="Times New Roman" w:hAnsi="Times New Roman"/>
        </w:rPr>
        <w:t>or lo cual se requiere entre 2 y 5 años desde el inicio del déficit hasta que se presenten las primeras manifestaciones clínicas, lo cual es explicado por su importante almacenamiento a nivel hepático (&gt;1.5 mg) y por su ciclo enterohepático</w:t>
      </w:r>
      <w:r w:rsidRPr="00503091">
        <w:rPr>
          <w:rFonts w:ascii="Times New Roman" w:hAnsi="Times New Roman"/>
          <w:vertAlign w:val="superscript"/>
        </w:rPr>
        <w:t>5</w:t>
      </w:r>
      <w:r>
        <w:rPr>
          <w:rFonts w:ascii="Times New Roman" w:hAnsi="Times New Roman"/>
        </w:rPr>
        <w:t>.</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 xml:space="preserve">El déficit de B12 puede afectar cualquier grupo etario, aunque es más frecuente en adultos mayores (AM) debido a la alta prevalencia de gastritis atrófica, la cual es causada por mediación autoinmune, como también a la presencia concomitante de infección por </w:t>
      </w:r>
      <w:r w:rsidRPr="00C32966">
        <w:rPr>
          <w:rFonts w:ascii="Times New Roman" w:hAnsi="Times New Roman"/>
          <w:i/>
        </w:rPr>
        <w:t>H</w:t>
      </w:r>
      <w:r>
        <w:rPr>
          <w:rFonts w:ascii="Times New Roman" w:hAnsi="Times New Roman"/>
          <w:i/>
        </w:rPr>
        <w:t>.</w:t>
      </w:r>
      <w:r w:rsidRPr="00C32966">
        <w:rPr>
          <w:rFonts w:ascii="Times New Roman" w:hAnsi="Times New Roman"/>
          <w:i/>
        </w:rPr>
        <w:t xml:space="preserve"> pylori</w:t>
      </w:r>
      <w:r w:rsidRPr="00C32966">
        <w:rPr>
          <w:rFonts w:ascii="Times New Roman" w:hAnsi="Times New Roman"/>
          <w:vertAlign w:val="superscript"/>
        </w:rPr>
        <w:t>6</w:t>
      </w:r>
      <w:r>
        <w:rPr>
          <w:rFonts w:ascii="Times New Roman" w:hAnsi="Times New Roman"/>
        </w:rPr>
        <w:t xml:space="preserve">. De otra parte, la gastritis atrófica lleva a destrucción de las células parietales gástricas, las cuales producen ácido clorhídrico y factor intrínseco, este último es una glicoproteína necesaria que permite la absorción de la </w:t>
      </w:r>
      <w:r w:rsidRPr="009510C3">
        <w:rPr>
          <w:rFonts w:ascii="Times New Roman" w:hAnsi="Times New Roman"/>
          <w:bCs/>
        </w:rPr>
        <w:t>Cbl</w:t>
      </w:r>
      <w:r>
        <w:rPr>
          <w:rFonts w:ascii="Times New Roman" w:hAnsi="Times New Roman"/>
        </w:rPr>
        <w:t xml:space="preserve"> a nivel del íleon terminal. Se </w:t>
      </w:r>
      <w:r>
        <w:rPr>
          <w:rFonts w:ascii="Times New Roman" w:hAnsi="Times New Roman"/>
        </w:rPr>
        <w:lastRenderedPageBreak/>
        <w:t xml:space="preserve">encontraron en la paciente tanto gastritis atrófica como presencia del </w:t>
      </w:r>
      <w:r>
        <w:rPr>
          <w:rFonts w:ascii="Times New Roman" w:hAnsi="Times New Roman"/>
          <w:i/>
        </w:rPr>
        <w:t>H.</w:t>
      </w:r>
      <w:r w:rsidRPr="00C32966">
        <w:rPr>
          <w:rFonts w:ascii="Times New Roman" w:hAnsi="Times New Roman"/>
          <w:i/>
        </w:rPr>
        <w:t xml:space="preserve"> pylori</w:t>
      </w:r>
      <w:r>
        <w:rPr>
          <w:rFonts w:ascii="Times New Roman" w:hAnsi="Times New Roman"/>
        </w:rPr>
        <w:t xml:space="preserve"> y probablemente explican la etiología del déficit de </w:t>
      </w:r>
      <w:r w:rsidRPr="009510C3">
        <w:rPr>
          <w:rFonts w:ascii="Times New Roman" w:hAnsi="Times New Roman"/>
          <w:bCs/>
        </w:rPr>
        <w:t>Cbl</w:t>
      </w:r>
      <w:r>
        <w:rPr>
          <w:rFonts w:ascii="Times New Roman" w:hAnsi="Times New Roman"/>
          <w:bCs/>
        </w:rPr>
        <w:t>.</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Dentro de las causas de la deficiencia de B12 en ancianos se incluyen inadecuada ingesta observada en personas vegetarianas, malabsorción por alteraciones gastrointestinales como gastritis atrófica que ocasiona hipoclorhidria, antecedente de gastrectomía o resección ileal, cirugía bariátrica, enfermedad de Crohn y síndrome de malabsorción intestinal</w:t>
      </w:r>
      <w:r w:rsidRPr="00EF5518">
        <w:rPr>
          <w:rFonts w:ascii="Times New Roman" w:hAnsi="Times New Roman"/>
          <w:vertAlign w:val="superscript"/>
        </w:rPr>
        <w:t>4</w:t>
      </w:r>
      <w:r>
        <w:rPr>
          <w:rFonts w:ascii="Times New Roman" w:hAnsi="Times New Roman"/>
        </w:rPr>
        <w:t xml:space="preserve">. </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 xml:space="preserve">El síndrome de malabsorción intestinal fue descrito por </w:t>
      </w:r>
      <w:r w:rsidRPr="00B6367A">
        <w:rPr>
          <w:rFonts w:ascii="Times New Roman" w:hAnsi="Times New Roman"/>
          <w:color w:val="000000"/>
        </w:rPr>
        <w:t>Carmel</w:t>
      </w:r>
      <w:r w:rsidRPr="00B6367A">
        <w:rPr>
          <w:rFonts w:ascii="Times New Roman" w:hAnsi="Times New Roman"/>
          <w:color w:val="000000"/>
          <w:vertAlign w:val="superscript"/>
        </w:rPr>
        <w:t>7</w:t>
      </w:r>
      <w:r w:rsidRPr="00B6367A">
        <w:rPr>
          <w:rFonts w:ascii="Times New Roman" w:hAnsi="Times New Roman"/>
          <w:color w:val="000000"/>
        </w:rPr>
        <w:t xml:space="preserve"> en</w:t>
      </w:r>
      <w:r>
        <w:rPr>
          <w:rFonts w:ascii="Times New Roman" w:hAnsi="Times New Roman"/>
        </w:rPr>
        <w:t xml:space="preserve"> el año 1995 y tiene especial importancia ya que explica entre 60% y 70% de los casos de déficit de vitamina B12 en AM. Se produce por sobrecrecimiento bacteriano, el cual se encuentra favorecido por la aclorhidria frecuente en AM, disminución en la motilidad intestinal, insuficiencia pancreática exocrina y empleo de antiácidos, los cuales ocasionan una disminución en la capacidad para liberar la vitamina B12 unida a los alimentos o proteínas.</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Otras causas de déficit de B12 son enfermedades autoinmunes como diabetes mellitus y enfermedades tiroideas, consumo de medicamentos en especial los inhibidores de bomba de protones, fenitoina, biguanidas y aspirina, también exposición a gases anestésicos como el óxido nitroso y consumo crónico de alcohol</w:t>
      </w:r>
      <w:r w:rsidRPr="00075F59">
        <w:rPr>
          <w:rFonts w:ascii="Times New Roman" w:hAnsi="Times New Roman"/>
          <w:vertAlign w:val="superscript"/>
        </w:rPr>
        <w:t>1</w:t>
      </w:r>
      <w:r>
        <w:rPr>
          <w:rFonts w:ascii="Times New Roman" w:hAnsi="Times New Roman"/>
        </w:rPr>
        <w:t>.</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 xml:space="preserve">De otra parte la deficiencia de </w:t>
      </w:r>
      <w:r w:rsidRPr="009510C3">
        <w:rPr>
          <w:rFonts w:ascii="Times New Roman" w:hAnsi="Times New Roman"/>
          <w:bCs/>
        </w:rPr>
        <w:t>Cbl</w:t>
      </w:r>
      <w:r>
        <w:rPr>
          <w:rFonts w:ascii="Times New Roman" w:hAnsi="Times New Roman"/>
        </w:rPr>
        <w:t xml:space="preserve"> puede tener manifestaciones clínicas complejas producto del compromiso en múltiples sistemas orgánicos y estar asociada con el desarrollo de diferentes síndromes geriátricos (Cuadro 2).</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 xml:space="preserve">Dentro de la sintomatología hematológica los pacientes pueden debutar con pancitopenia, a pesar que algunos pueden no desarrollar anemia ni macrocitosis; sin embargo, la presentación más frecuente es la anemia macrocítica como lo presentó la paciente. </w:t>
      </w:r>
    </w:p>
    <w:p w:rsidR="002C50B5" w:rsidRDefault="002C50B5" w:rsidP="002C50B5">
      <w:pPr>
        <w:pStyle w:val="Textoindependiente"/>
        <w:spacing w:line="360" w:lineRule="auto"/>
        <w:ind w:firstLine="284"/>
        <w:rPr>
          <w:rFonts w:ascii="Times New Roman" w:hAnsi="Times New Roman"/>
        </w:rPr>
      </w:pPr>
      <w:r w:rsidRPr="0086093E">
        <w:rPr>
          <w:rFonts w:ascii="Times New Roman" w:hAnsi="Times New Roman"/>
        </w:rPr>
        <w:t>Con respecto a los síntomas neurológicos, estos varían según la estructura afectada, pudiendo ser nervio periférico, m</w:t>
      </w:r>
      <w:r>
        <w:rPr>
          <w:rFonts w:ascii="Times New Roman" w:hAnsi="Times New Roman"/>
        </w:rPr>
        <w:t>é</w:t>
      </w:r>
      <w:r w:rsidRPr="0086093E">
        <w:rPr>
          <w:rFonts w:ascii="Times New Roman" w:hAnsi="Times New Roman"/>
        </w:rPr>
        <w:t>dula espinal, cerebro y nervios ópticos, los cuales se desarrollan durante un per</w:t>
      </w:r>
      <w:r>
        <w:rPr>
          <w:rFonts w:ascii="Times New Roman" w:hAnsi="Times New Roman"/>
        </w:rPr>
        <w:t>í</w:t>
      </w:r>
      <w:r w:rsidRPr="0086093E">
        <w:rPr>
          <w:rFonts w:ascii="Times New Roman" w:hAnsi="Times New Roman"/>
        </w:rPr>
        <w:t>odo de varios meses</w:t>
      </w:r>
      <w:r w:rsidRPr="007F0432">
        <w:rPr>
          <w:rFonts w:ascii="Times New Roman" w:hAnsi="Times New Roman"/>
          <w:vertAlign w:val="superscript"/>
        </w:rPr>
        <w:t>8</w:t>
      </w:r>
      <w:r w:rsidRPr="0086093E">
        <w:rPr>
          <w:rFonts w:ascii="Times New Roman" w:hAnsi="Times New Roman"/>
        </w:rPr>
        <w:t xml:space="preserve">. La severidad de las manifestaciones neurológicas se correlaciona de manera directa con la duración de los síntomas </w:t>
      </w:r>
      <w:r>
        <w:rPr>
          <w:rFonts w:ascii="Times New Roman" w:hAnsi="Times New Roman"/>
        </w:rPr>
        <w:t>y de manera</w:t>
      </w:r>
      <w:r w:rsidRPr="0086093E">
        <w:rPr>
          <w:rFonts w:ascii="Times New Roman" w:hAnsi="Times New Roman"/>
        </w:rPr>
        <w:t xml:space="preserve"> inversa con el valor de la hemoglobina.</w:t>
      </w:r>
    </w:p>
    <w:p w:rsidR="002C50B5" w:rsidRDefault="002C50B5" w:rsidP="002C50B5">
      <w:pPr>
        <w:autoSpaceDE w:val="0"/>
        <w:autoSpaceDN w:val="0"/>
        <w:adjustRightInd w:val="0"/>
        <w:spacing w:line="360" w:lineRule="auto"/>
        <w:ind w:firstLine="284"/>
        <w:jc w:val="both"/>
        <w:rPr>
          <w:color w:val="231F20"/>
        </w:rPr>
      </w:pPr>
      <w:r w:rsidRPr="0086093E">
        <w:rPr>
          <w:color w:val="231F20"/>
        </w:rPr>
        <w:t>La neuropatía periférica</w:t>
      </w:r>
      <w:r w:rsidRPr="009F61C9">
        <w:rPr>
          <w:color w:val="231F20"/>
        </w:rPr>
        <w:t xml:space="preserve"> </w:t>
      </w:r>
      <w:r>
        <w:rPr>
          <w:color w:val="231F20"/>
        </w:rPr>
        <w:t>es</w:t>
      </w:r>
      <w:r w:rsidRPr="009F61C9">
        <w:rPr>
          <w:color w:val="231F20"/>
        </w:rPr>
        <w:t xml:space="preserve"> la manifestación</w:t>
      </w:r>
      <w:r>
        <w:rPr>
          <w:color w:val="231F20"/>
        </w:rPr>
        <w:t xml:space="preserve"> neurológica </w:t>
      </w:r>
      <w:r w:rsidRPr="009F61C9">
        <w:rPr>
          <w:color w:val="231F20"/>
        </w:rPr>
        <w:t xml:space="preserve">más </w:t>
      </w:r>
      <w:r>
        <w:rPr>
          <w:color w:val="231F20"/>
        </w:rPr>
        <w:t>frecuente, se presenta</w:t>
      </w:r>
      <w:r w:rsidRPr="009F61C9">
        <w:rPr>
          <w:color w:val="231F20"/>
        </w:rPr>
        <w:t xml:space="preserve"> con parestesias y adormecimiento</w:t>
      </w:r>
      <w:r>
        <w:rPr>
          <w:color w:val="231F20"/>
        </w:rPr>
        <w:t xml:space="preserve"> </w:t>
      </w:r>
      <w:r w:rsidRPr="009F61C9">
        <w:rPr>
          <w:color w:val="231F20"/>
        </w:rPr>
        <w:t>en pies y piernas</w:t>
      </w:r>
      <w:r>
        <w:rPr>
          <w:color w:val="231F20"/>
        </w:rPr>
        <w:t>,</w:t>
      </w:r>
      <w:r w:rsidRPr="009F61C9">
        <w:rPr>
          <w:color w:val="231F20"/>
        </w:rPr>
        <w:t xml:space="preserve"> acompañados</w:t>
      </w:r>
      <w:r>
        <w:rPr>
          <w:color w:val="231F20"/>
        </w:rPr>
        <w:t xml:space="preserve"> de</w:t>
      </w:r>
      <w:r w:rsidRPr="009F61C9">
        <w:rPr>
          <w:color w:val="231F20"/>
        </w:rPr>
        <w:t xml:space="preserve"> </w:t>
      </w:r>
      <w:r>
        <w:rPr>
          <w:color w:val="231F20"/>
        </w:rPr>
        <w:t>hiporreflexia</w:t>
      </w:r>
      <w:r w:rsidRPr="009F61C9">
        <w:rPr>
          <w:color w:val="231F20"/>
        </w:rPr>
        <w:t xml:space="preserve">, alteración </w:t>
      </w:r>
      <w:r w:rsidRPr="009F61C9">
        <w:rPr>
          <w:color w:val="231F20"/>
        </w:rPr>
        <w:lastRenderedPageBreak/>
        <w:t>en la sensibilidad</w:t>
      </w:r>
      <w:r>
        <w:rPr>
          <w:color w:val="231F20"/>
        </w:rPr>
        <w:t xml:space="preserve"> </w:t>
      </w:r>
      <w:r w:rsidRPr="009F61C9">
        <w:rPr>
          <w:color w:val="231F20"/>
        </w:rPr>
        <w:t>superficial con una distribución en bota y compromiso de la</w:t>
      </w:r>
      <w:r>
        <w:rPr>
          <w:color w:val="231F20"/>
        </w:rPr>
        <w:t xml:space="preserve"> </w:t>
      </w:r>
      <w:r w:rsidRPr="009F61C9">
        <w:rPr>
          <w:color w:val="231F20"/>
        </w:rPr>
        <w:t xml:space="preserve">sensibilidad vibratoria; </w:t>
      </w:r>
      <w:r>
        <w:rPr>
          <w:color w:val="231F20"/>
        </w:rPr>
        <w:t xml:space="preserve">luego se desarrolla de forma </w:t>
      </w:r>
      <w:r w:rsidRPr="009F61C9">
        <w:rPr>
          <w:color w:val="231F20"/>
        </w:rPr>
        <w:t>similar</w:t>
      </w:r>
      <w:r>
        <w:rPr>
          <w:color w:val="231F20"/>
        </w:rPr>
        <w:t xml:space="preserve"> </w:t>
      </w:r>
      <w:r w:rsidRPr="009F61C9">
        <w:rPr>
          <w:color w:val="231F20"/>
        </w:rPr>
        <w:t>en manos, junto con debilidad distal de miembros</w:t>
      </w:r>
      <w:r>
        <w:rPr>
          <w:color w:val="231F20"/>
        </w:rPr>
        <w:t xml:space="preserve"> </w:t>
      </w:r>
      <w:r w:rsidRPr="009F61C9">
        <w:rPr>
          <w:color w:val="231F20"/>
        </w:rPr>
        <w:t>inferiores</w:t>
      </w:r>
      <w:r>
        <w:rPr>
          <w:color w:val="231F20"/>
        </w:rPr>
        <w:t>, similar al caso presentado</w:t>
      </w:r>
      <w:r w:rsidRPr="007F0432">
        <w:rPr>
          <w:color w:val="231F20"/>
          <w:vertAlign w:val="superscript"/>
        </w:rPr>
        <w:t>1</w:t>
      </w:r>
      <w:r w:rsidRPr="009F61C9">
        <w:rPr>
          <w:color w:val="231F20"/>
        </w:rPr>
        <w:t xml:space="preserve">. </w:t>
      </w:r>
    </w:p>
    <w:p w:rsidR="002C50B5" w:rsidRDefault="002C50B5" w:rsidP="002C50B5">
      <w:pPr>
        <w:autoSpaceDE w:val="0"/>
        <w:autoSpaceDN w:val="0"/>
        <w:adjustRightInd w:val="0"/>
        <w:spacing w:line="360" w:lineRule="auto"/>
        <w:ind w:firstLine="284"/>
        <w:jc w:val="both"/>
      </w:pPr>
      <w:r w:rsidRPr="008A40F4">
        <w:t>La mielopatía</w:t>
      </w:r>
      <w:r>
        <w:t xml:space="preserve"> </w:t>
      </w:r>
      <w:r w:rsidRPr="009F61C9">
        <w:t>secundari</w:t>
      </w:r>
      <w:r>
        <w:t xml:space="preserve">a </w:t>
      </w:r>
      <w:r w:rsidRPr="008A40F4">
        <w:t xml:space="preserve">a </w:t>
      </w:r>
      <w:r w:rsidRPr="009F61C9">
        <w:t xml:space="preserve">déficit de </w:t>
      </w:r>
      <w:r>
        <w:t>Cbl, s</w:t>
      </w:r>
      <w:r w:rsidRPr="009F61C9">
        <w:t>e denomina degeneración combinada sub</w:t>
      </w:r>
      <w:r>
        <w:t>-</w:t>
      </w:r>
      <w:r w:rsidRPr="009F61C9">
        <w:t>aguda de la medula</w:t>
      </w:r>
      <w:r>
        <w:t>, la cual fue una de las manifestaciones cardinales del caso descrito junto con la anemia macrocítica</w:t>
      </w:r>
      <w:r w:rsidRPr="009F61C9">
        <w:t>. Se caracteriza por compromiso medular que afecta el tracto espinotalámico posterior y lateral, que al inicio se presenta a nivel de columna cervical inferior y torácica superior</w:t>
      </w:r>
      <w:r w:rsidRPr="008D1403">
        <w:t xml:space="preserve"> </w:t>
      </w:r>
      <w:r>
        <w:t xml:space="preserve">y </w:t>
      </w:r>
      <w:r w:rsidRPr="008D1403">
        <w:t>avanzan en dirección caudal y craneal, así como hacia</w:t>
      </w:r>
      <w:r>
        <w:t xml:space="preserve"> </w:t>
      </w:r>
      <w:r w:rsidRPr="008D1403">
        <w:t>delante, invadiendo las columnas laterales y anteriores</w:t>
      </w:r>
      <w:r w:rsidRPr="007F0432">
        <w:rPr>
          <w:vertAlign w:val="superscript"/>
        </w:rPr>
        <w:t>8</w:t>
      </w:r>
      <w:r>
        <w:t xml:space="preserve">. </w:t>
      </w:r>
    </w:p>
    <w:p w:rsidR="002C50B5" w:rsidRDefault="002C50B5" w:rsidP="002C50B5">
      <w:pPr>
        <w:autoSpaceDE w:val="0"/>
        <w:autoSpaceDN w:val="0"/>
        <w:adjustRightInd w:val="0"/>
        <w:spacing w:line="360" w:lineRule="auto"/>
        <w:ind w:firstLine="284"/>
        <w:jc w:val="both"/>
      </w:pPr>
      <w:r>
        <w:t xml:space="preserve">Las manifestaciones clínicas son dadas por </w:t>
      </w:r>
      <w:r w:rsidRPr="00F40112">
        <w:t>trastornos</w:t>
      </w:r>
      <w:r>
        <w:t xml:space="preserve"> </w:t>
      </w:r>
      <w:r w:rsidRPr="00F40112">
        <w:t>en la sensibilidad profunda a nivel de miembros inferiores con hipoestesia, parestesias</w:t>
      </w:r>
      <w:r>
        <w:t xml:space="preserve">, propiocepción disminuida e inestabilidad para la marcha con base de sustentación amplia por ataxia sensorial, los cuales se presentan de forma </w:t>
      </w:r>
      <w:r w:rsidRPr="008D1403">
        <w:t>simétrica</w:t>
      </w:r>
      <w:r w:rsidRPr="00ED3EF9">
        <w:rPr>
          <w:vertAlign w:val="superscript"/>
        </w:rPr>
        <w:t>7</w:t>
      </w:r>
      <w:r w:rsidRPr="008D1403">
        <w:t>. En estad</w:t>
      </w:r>
      <w:r>
        <w:t>í</w:t>
      </w:r>
      <w:r w:rsidRPr="008D1403">
        <w:t xml:space="preserve">os avanzados puede </w:t>
      </w:r>
      <w:r>
        <w:t>desarrollarse</w:t>
      </w:r>
      <w:r w:rsidRPr="008D1403">
        <w:t xml:space="preserve"> tetraparesia o paraparesia espática y contracturas</w:t>
      </w:r>
      <w:r w:rsidRPr="007B150B">
        <w:rPr>
          <w:vertAlign w:val="superscript"/>
        </w:rPr>
        <w:t>6</w:t>
      </w:r>
      <w:r w:rsidRPr="008D1403">
        <w:t>.</w:t>
      </w:r>
      <w:r>
        <w:t xml:space="preserve"> </w:t>
      </w:r>
    </w:p>
    <w:p w:rsidR="002C50B5" w:rsidRPr="008D1403" w:rsidRDefault="002C50B5" w:rsidP="002C50B5">
      <w:pPr>
        <w:autoSpaceDE w:val="0"/>
        <w:autoSpaceDN w:val="0"/>
        <w:adjustRightInd w:val="0"/>
        <w:spacing w:line="360" w:lineRule="auto"/>
        <w:ind w:firstLine="284"/>
        <w:jc w:val="both"/>
      </w:pPr>
      <w:r>
        <w:t xml:space="preserve">El compromiso medular por </w:t>
      </w:r>
      <w:r w:rsidRPr="009F61C9">
        <w:t xml:space="preserve">déficit de </w:t>
      </w:r>
      <w:r>
        <w:t>Cbl se encuentra asociado con presencia diferentes síndromes geriátricos como m</w:t>
      </w:r>
      <w:r w:rsidRPr="00227527">
        <w:rPr>
          <w:lang w:val="es-MX"/>
        </w:rPr>
        <w:t>areo</w:t>
      </w:r>
      <w:r>
        <w:rPr>
          <w:lang w:val="es-MX"/>
        </w:rPr>
        <w:t xml:space="preserve"> y síncope, estos dos a su vez relacionados con </w:t>
      </w:r>
      <w:r w:rsidRPr="00227527">
        <w:rPr>
          <w:lang w:val="es-MX"/>
        </w:rPr>
        <w:t xml:space="preserve">caídas, </w:t>
      </w:r>
      <w:r>
        <w:rPr>
          <w:lang w:val="es-MX"/>
        </w:rPr>
        <w:t xml:space="preserve">miedo a caer, </w:t>
      </w:r>
      <w:r w:rsidRPr="00227527">
        <w:rPr>
          <w:lang w:val="es-MX"/>
        </w:rPr>
        <w:t>fragilidad</w:t>
      </w:r>
      <w:r>
        <w:rPr>
          <w:lang w:val="es-MX"/>
        </w:rPr>
        <w:t xml:space="preserve"> y falla para prosperar</w:t>
      </w:r>
      <w:r w:rsidRPr="007B150B">
        <w:rPr>
          <w:vertAlign w:val="superscript"/>
          <w:lang w:val="es-MX"/>
        </w:rPr>
        <w:t>2</w:t>
      </w:r>
      <w:r>
        <w:rPr>
          <w:lang w:val="es-MX"/>
        </w:rPr>
        <w:t xml:space="preserve">. Con respecto al caso presentado, la paciente desarrolló una marcha con características de ataxia sensorial, que le ocasionó un síndrome de caídas y miedo a caer, con la posterior restricción en sus actividades </w:t>
      </w:r>
      <w:r w:rsidRPr="002640FC">
        <w:t>de la vida diaria</w:t>
      </w:r>
      <w:r>
        <w:rPr>
          <w:lang w:val="es-MX"/>
        </w:rPr>
        <w:t xml:space="preserve">, llevando a fragilidad y por último declinación funcional con dependencia severa según la </w:t>
      </w:r>
      <w:r w:rsidRPr="002640FC">
        <w:t>escala de Bar</w:t>
      </w:r>
      <w:r w:rsidRPr="002640FC">
        <w:rPr>
          <w:bCs/>
        </w:rPr>
        <w:t>thel</w:t>
      </w:r>
      <w:r>
        <w:rPr>
          <w:lang w:val="es-MX"/>
        </w:rPr>
        <w:t xml:space="preserve">. </w:t>
      </w:r>
    </w:p>
    <w:p w:rsidR="002C50B5" w:rsidRDefault="002C50B5" w:rsidP="002C50B5">
      <w:pPr>
        <w:autoSpaceDE w:val="0"/>
        <w:autoSpaceDN w:val="0"/>
        <w:adjustRightInd w:val="0"/>
        <w:spacing w:line="360" w:lineRule="auto"/>
        <w:ind w:firstLine="284"/>
        <w:jc w:val="both"/>
      </w:pPr>
      <w:r w:rsidRPr="008D1403">
        <w:t>Cuando los segmentos</w:t>
      </w:r>
      <w:r w:rsidRPr="00F40112">
        <w:t xml:space="preserve"> cervical</w:t>
      </w:r>
      <w:r>
        <w:t>es</w:t>
      </w:r>
      <w:r w:rsidRPr="00F40112">
        <w:t xml:space="preserve"> resulta</w:t>
      </w:r>
      <w:r>
        <w:t>n</w:t>
      </w:r>
      <w:r w:rsidRPr="00F40112">
        <w:t xml:space="preserve"> </w:t>
      </w:r>
      <w:r w:rsidRPr="00216D92">
        <w:t xml:space="preserve">afectados, se observa sintomatología equivalente en los miembros superiores, </w:t>
      </w:r>
      <w:r>
        <w:t xml:space="preserve">y </w:t>
      </w:r>
      <w:r w:rsidRPr="00216D92">
        <w:t xml:space="preserve">con presencia </w:t>
      </w:r>
      <w:r>
        <w:t xml:space="preserve">característica </w:t>
      </w:r>
      <w:r w:rsidRPr="00216D92">
        <w:t xml:space="preserve">del </w:t>
      </w:r>
      <w:r>
        <w:t xml:space="preserve">signo de Lhermitte, manifestado por la paciente. Este signo es desencadenado </w:t>
      </w:r>
      <w:r w:rsidRPr="00216D92">
        <w:t>por la flexión del cuello</w:t>
      </w:r>
      <w:r>
        <w:t xml:space="preserve">, </w:t>
      </w:r>
      <w:r w:rsidRPr="00216D92">
        <w:t>caracteriza</w:t>
      </w:r>
      <w:r>
        <w:t>do</w:t>
      </w:r>
      <w:r w:rsidRPr="00216D92">
        <w:t xml:space="preserve"> por sensación eléctrica a lo largo del raquis</w:t>
      </w:r>
      <w:r>
        <w:t xml:space="preserve">, y se considera </w:t>
      </w:r>
      <w:r w:rsidRPr="00216D92">
        <w:rPr>
          <w:color w:val="292526"/>
        </w:rPr>
        <w:t xml:space="preserve">un </w:t>
      </w:r>
      <w:r>
        <w:rPr>
          <w:color w:val="292526"/>
        </w:rPr>
        <w:t>indicador</w:t>
      </w:r>
      <w:r w:rsidRPr="00216D92">
        <w:rPr>
          <w:color w:val="292526"/>
        </w:rPr>
        <w:t xml:space="preserve"> de</w:t>
      </w:r>
      <w:r>
        <w:rPr>
          <w:color w:val="292526"/>
        </w:rPr>
        <w:t xml:space="preserve"> </w:t>
      </w:r>
      <w:r w:rsidRPr="00216D92">
        <w:rPr>
          <w:color w:val="292526"/>
        </w:rPr>
        <w:t>desmielinización de los cordones posteriores de la</w:t>
      </w:r>
      <w:r>
        <w:rPr>
          <w:color w:val="292526"/>
        </w:rPr>
        <w:t xml:space="preserve"> </w:t>
      </w:r>
      <w:r w:rsidRPr="00216D92">
        <w:rPr>
          <w:color w:val="292526"/>
        </w:rPr>
        <w:t>médula</w:t>
      </w:r>
      <w:r w:rsidRPr="00AE3F13">
        <w:rPr>
          <w:color w:val="292526"/>
          <w:vertAlign w:val="superscript"/>
        </w:rPr>
        <w:t>7</w:t>
      </w:r>
      <w:r>
        <w:t>.</w:t>
      </w:r>
    </w:p>
    <w:p w:rsidR="002C50B5" w:rsidRDefault="002C50B5" w:rsidP="002C50B5">
      <w:pPr>
        <w:autoSpaceDE w:val="0"/>
        <w:autoSpaceDN w:val="0"/>
        <w:adjustRightInd w:val="0"/>
        <w:spacing w:line="360" w:lineRule="auto"/>
        <w:ind w:firstLine="284"/>
        <w:jc w:val="both"/>
      </w:pPr>
      <w:r>
        <w:t xml:space="preserve">Los hallazgos neuropatológicos en la degeneración combinada subaguda de la médula son dados por </w:t>
      </w:r>
      <w:r w:rsidRPr="008D1403">
        <w:t>degeneración de las vainas de</w:t>
      </w:r>
      <w:r>
        <w:t xml:space="preserve"> </w:t>
      </w:r>
      <w:r w:rsidRPr="008D1403">
        <w:t xml:space="preserve">mielina, </w:t>
      </w:r>
      <w:r>
        <w:t>con</w:t>
      </w:r>
      <w:r w:rsidRPr="008D1403">
        <w:t xml:space="preserve"> formación de vacuolas</w:t>
      </w:r>
      <w:r>
        <w:t xml:space="preserve"> </w:t>
      </w:r>
      <w:r w:rsidRPr="008D1403">
        <w:t>intramielínicas y separación de las láminas de mielina</w:t>
      </w:r>
      <w:r>
        <w:t xml:space="preserve">. Se produce una desmielinización espongiforme en placas </w:t>
      </w:r>
      <w:r w:rsidRPr="005C717B">
        <w:t xml:space="preserve">diseminadas que inician a nivel de las columnas </w:t>
      </w:r>
      <w:r w:rsidRPr="00C902A7">
        <w:t xml:space="preserve">posterior y lateral </w:t>
      </w:r>
      <w:r w:rsidRPr="00C902A7">
        <w:lastRenderedPageBreak/>
        <w:t>de la m</w:t>
      </w:r>
      <w:r>
        <w:t>é</w:t>
      </w:r>
      <w:r w:rsidRPr="00C902A7">
        <w:t xml:space="preserve">dula espinal cervical y torácica, </w:t>
      </w:r>
      <w:r>
        <w:t xml:space="preserve">que </w:t>
      </w:r>
      <w:r w:rsidRPr="00C902A7">
        <w:t>en ocasiones puede afectar las columnas anteriores con d</w:t>
      </w:r>
      <w:r>
        <w:t xml:space="preserve">egeneración </w:t>
      </w:r>
      <w:r w:rsidRPr="00C902A7">
        <w:t xml:space="preserve">axonal y </w:t>
      </w:r>
      <w:r>
        <w:t xml:space="preserve">gliosis en estadíos avanzados de </w:t>
      </w:r>
      <w:r w:rsidRPr="008D1403">
        <w:t>la enfermedad</w:t>
      </w:r>
      <w:r w:rsidRPr="00AE3F13">
        <w:rPr>
          <w:vertAlign w:val="superscript"/>
        </w:rPr>
        <w:t>8</w:t>
      </w:r>
      <w:r w:rsidRPr="008D1403">
        <w:t>.</w:t>
      </w:r>
    </w:p>
    <w:p w:rsidR="002C50B5" w:rsidRDefault="002C50B5" w:rsidP="002C50B5">
      <w:pPr>
        <w:autoSpaceDE w:val="0"/>
        <w:autoSpaceDN w:val="0"/>
        <w:adjustRightInd w:val="0"/>
        <w:spacing w:line="360" w:lineRule="auto"/>
        <w:ind w:firstLine="284"/>
        <w:jc w:val="both"/>
      </w:pPr>
      <w:r w:rsidRPr="008D1403">
        <w:t>Las imágenes</w:t>
      </w:r>
      <w:r>
        <w:t xml:space="preserve"> de resonancia magnética muestran </w:t>
      </w:r>
      <w:r w:rsidRPr="00C902A7">
        <w:t>hiperintensidad focal y simétrica en la mitad posterior del cordón medular visible en secuencia T2</w:t>
      </w:r>
      <w:r>
        <w:t>, explicado por un incremento en el contenido de agua</w:t>
      </w:r>
      <w:r w:rsidRPr="00C902A7">
        <w:t xml:space="preserve"> como se ilustra en</w:t>
      </w:r>
      <w:r w:rsidRPr="005C717B">
        <w:t xml:space="preserve"> la </w:t>
      </w:r>
      <w:r>
        <w:t>F</w:t>
      </w:r>
      <w:r w:rsidRPr="005C717B">
        <w:t>igura 2.</w:t>
      </w:r>
      <w:r>
        <w:t xml:space="preserve"> Los diagnósticos diferenciales para estas lesiones observadas en resonancia magnética incluyen infecciones (tabes dorsal, virus de inmunodeficiencia humana, herpes Zoster), neoplasias (linfoma, mielopatía paraneoplásica), vasculares (isquemia arterial o venosa, malformación arteriovenosa de medula espinal), mielitis post-radiación, esclerosis múltiple, mielitis transversa aguda y siringomelia</w:t>
      </w:r>
      <w:r w:rsidRPr="00AE3F13">
        <w:rPr>
          <w:vertAlign w:val="superscript"/>
        </w:rPr>
        <w:t>8</w:t>
      </w:r>
      <w:r>
        <w:t>.</w:t>
      </w:r>
    </w:p>
    <w:p w:rsidR="002C50B5" w:rsidRPr="00E73D0C" w:rsidRDefault="002C50B5" w:rsidP="002C50B5">
      <w:pPr>
        <w:autoSpaceDE w:val="0"/>
        <w:autoSpaceDN w:val="0"/>
        <w:adjustRightInd w:val="0"/>
        <w:spacing w:line="360" w:lineRule="auto"/>
        <w:ind w:firstLine="284"/>
        <w:jc w:val="both"/>
      </w:pPr>
      <w:r>
        <w:t>En lo que respecta a los síntomas psiquiátricos, estos tienen un rango de presentación amplia desde depresión hasta demencia, los cuales hacen parte del síndrome de deterioro cognoscitivo</w:t>
      </w:r>
      <w:r w:rsidRPr="00AE3F13">
        <w:rPr>
          <w:vertAlign w:val="superscript"/>
        </w:rPr>
        <w:t>2</w:t>
      </w:r>
      <w:r>
        <w:t xml:space="preserve">. Se presentan </w:t>
      </w:r>
      <w:r w:rsidRPr="00E73D0C">
        <w:rPr>
          <w:color w:val="231F20"/>
        </w:rPr>
        <w:t>como consecuencia</w:t>
      </w:r>
      <w:r>
        <w:rPr>
          <w:color w:val="231F20"/>
        </w:rPr>
        <w:t xml:space="preserve"> </w:t>
      </w:r>
      <w:r w:rsidRPr="00E73D0C">
        <w:rPr>
          <w:color w:val="231F20"/>
        </w:rPr>
        <w:t>de múltiples focos de</w:t>
      </w:r>
      <w:r>
        <w:rPr>
          <w:color w:val="231F20"/>
        </w:rPr>
        <w:t xml:space="preserve"> desmielinización a nivel de la </w:t>
      </w:r>
      <w:r w:rsidRPr="00E73D0C">
        <w:rPr>
          <w:color w:val="231F20"/>
        </w:rPr>
        <w:t>sustancia blanca frontal y parietal</w:t>
      </w:r>
      <w:r>
        <w:rPr>
          <w:color w:val="231F20"/>
        </w:rPr>
        <w:t xml:space="preserve"> y cuerpo calloso. </w:t>
      </w:r>
      <w:r w:rsidRPr="00E73D0C">
        <w:rPr>
          <w:color w:val="231F20"/>
        </w:rPr>
        <w:t>La</w:t>
      </w:r>
      <w:r>
        <w:rPr>
          <w:color w:val="231F20"/>
        </w:rPr>
        <w:t xml:space="preserve"> </w:t>
      </w:r>
      <w:r w:rsidRPr="00E73D0C">
        <w:rPr>
          <w:color w:val="231F20"/>
        </w:rPr>
        <w:t xml:space="preserve">sintomatología </w:t>
      </w:r>
      <w:r>
        <w:rPr>
          <w:color w:val="231F20"/>
        </w:rPr>
        <w:t>es variada</w:t>
      </w:r>
      <w:r w:rsidRPr="00E73D0C">
        <w:rPr>
          <w:color w:val="231F20"/>
        </w:rPr>
        <w:t xml:space="preserve"> pudiendo cursar con trastornos del afecto,</w:t>
      </w:r>
      <w:r>
        <w:rPr>
          <w:color w:val="231F20"/>
        </w:rPr>
        <w:t xml:space="preserve"> compromiso en función ejecutiva y memo</w:t>
      </w:r>
      <w:r w:rsidRPr="00E73D0C">
        <w:rPr>
          <w:color w:val="231F20"/>
        </w:rPr>
        <w:t>ria, confusión,</w:t>
      </w:r>
      <w:r>
        <w:rPr>
          <w:color w:val="231F20"/>
        </w:rPr>
        <w:t xml:space="preserve"> </w:t>
      </w:r>
      <w:r w:rsidRPr="00E73D0C">
        <w:rPr>
          <w:color w:val="231F20"/>
        </w:rPr>
        <w:t>agitación, alucinaciones visuales y auditivas</w:t>
      </w:r>
      <w:r>
        <w:rPr>
          <w:color w:val="231F20"/>
        </w:rPr>
        <w:t>.</w:t>
      </w:r>
      <w:r>
        <w:t xml:space="preserve"> No obstante, a pesar que el déficit de B12 se encuentra con frecuencia en AM con demencia o depresión, la </w:t>
      </w:r>
      <w:r w:rsidRPr="00E73D0C">
        <w:t xml:space="preserve">administración de </w:t>
      </w:r>
      <w:r>
        <w:t>Cbl</w:t>
      </w:r>
      <w:r w:rsidRPr="00E73D0C">
        <w:t xml:space="preserve"> no ha mostrado mejoría en la función cognoscitiva, en consecuencia no se puede afirmar que dicha carencia vitamínica se comporte como un factor causal</w:t>
      </w:r>
      <w:r w:rsidRPr="00AE3F13">
        <w:rPr>
          <w:vertAlign w:val="superscript"/>
        </w:rPr>
        <w:t>6</w:t>
      </w:r>
      <w:r w:rsidRPr="00E73D0C">
        <w:t xml:space="preserve">. </w:t>
      </w:r>
      <w:r>
        <w:t>En efecto, la paciente a pesar de tener déficit de Cbl, las escalas de valoración no evidenciaron presencia de deterioro en sus funciones cognoscitivas ni depresión.</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De otro lado, las manifestaciones en mucosas incluyen glosodinia, úlceras recurrentes, disgeusia, parestesia lingual, estomatitis y queilitis angular. Sin embargo, la glositis de Hunter es la presentación más frecuente, se encuentra hasta en 25% de los casos y se caracteriza por una lengua de apariencia roja, lisa, atrofia de papilas linguales y con alteraciones del gusto, todo lo anterior estaba presente en la paciente</w:t>
      </w:r>
      <w:r w:rsidRPr="00AE3F13">
        <w:rPr>
          <w:rFonts w:ascii="Times New Roman" w:hAnsi="Times New Roman"/>
          <w:vertAlign w:val="superscript"/>
        </w:rPr>
        <w:t>5</w:t>
      </w:r>
      <w:r>
        <w:rPr>
          <w:rFonts w:ascii="Times New Roman" w:hAnsi="Times New Roman"/>
        </w:rPr>
        <w:t>. Dichas anormalidades pueden llevar al AM desarrollar síndromes nutricionales como desnutrición proteicocalórica y falla para prosperar, como también a potenciar la anorexia del envejecimiento y caquexia</w:t>
      </w:r>
      <w:r w:rsidRPr="00AE3F13">
        <w:rPr>
          <w:rFonts w:ascii="Times New Roman" w:hAnsi="Times New Roman"/>
          <w:vertAlign w:val="superscript"/>
        </w:rPr>
        <w:t>2</w:t>
      </w:r>
      <w:r>
        <w:rPr>
          <w:rFonts w:ascii="Times New Roman" w:hAnsi="Times New Roman"/>
        </w:rPr>
        <w:t xml:space="preserve">. </w:t>
      </w:r>
    </w:p>
    <w:p w:rsidR="002C50B5" w:rsidRDefault="002C50B5" w:rsidP="002C50B5">
      <w:pPr>
        <w:pStyle w:val="Textoindependiente"/>
        <w:spacing w:line="360" w:lineRule="auto"/>
        <w:ind w:firstLine="284"/>
        <w:rPr>
          <w:rFonts w:ascii="Times New Roman" w:hAnsi="Times New Roman"/>
        </w:rPr>
      </w:pPr>
      <w:r>
        <w:rPr>
          <w:rFonts w:ascii="Times New Roman" w:hAnsi="Times New Roman"/>
        </w:rPr>
        <w:t xml:space="preserve">En el caso presentado se hizo evidente que la alteración en mucosas llevó a pérdida de peso no intencionada, característica importante debido a que es una de las principales vías </w:t>
      </w:r>
      <w:r>
        <w:rPr>
          <w:rFonts w:ascii="Times New Roman" w:hAnsi="Times New Roman"/>
        </w:rPr>
        <w:lastRenderedPageBreak/>
        <w:t>de ingreso para el síndrome de fragilidad, y de igual manera para que se originen diferentes síndromes nutricionales geriatricos</w:t>
      </w:r>
      <w:r w:rsidRPr="00E25F08">
        <w:rPr>
          <w:rFonts w:ascii="Times New Roman" w:hAnsi="Times New Roman"/>
          <w:vertAlign w:val="superscript"/>
        </w:rPr>
        <w:t>5</w:t>
      </w:r>
      <w:r>
        <w:rPr>
          <w:rFonts w:ascii="Times New Roman" w:hAnsi="Times New Roman"/>
        </w:rPr>
        <w:t xml:space="preserve">. Vale decir que la paciente presentaba un estado de malnutrición según la escala del </w:t>
      </w:r>
      <w:r w:rsidRPr="00FD76CE">
        <w:rPr>
          <w:rFonts w:ascii="Times New Roman" w:hAnsi="Times New Roman"/>
          <w:bCs/>
        </w:rPr>
        <w:t>mini nutritional assessment</w:t>
      </w:r>
      <w:r>
        <w:rPr>
          <w:rFonts w:ascii="Times New Roman" w:hAnsi="Times New Roman"/>
          <w:bCs/>
        </w:rPr>
        <w:t>.</w:t>
      </w:r>
      <w:r>
        <w:rPr>
          <w:rFonts w:ascii="Times New Roman" w:hAnsi="Times New Roman"/>
        </w:rPr>
        <w:t xml:space="preserve"> </w:t>
      </w:r>
    </w:p>
    <w:p w:rsidR="002C50B5" w:rsidRPr="00AE3F13" w:rsidRDefault="002C50B5" w:rsidP="002C50B5">
      <w:pPr>
        <w:pStyle w:val="Textoindependiente"/>
        <w:spacing w:line="360" w:lineRule="auto"/>
        <w:ind w:firstLine="284"/>
        <w:rPr>
          <w:rFonts w:ascii="Times New Roman" w:hAnsi="Times New Roman"/>
        </w:rPr>
      </w:pPr>
      <w:r>
        <w:rPr>
          <w:rFonts w:ascii="Times New Roman" w:hAnsi="Times New Roman"/>
        </w:rPr>
        <w:t xml:space="preserve">Finalmente, este caso muestra que el grupo de AM constituye una población vulnerable para desarrollar déficit de vitamina B12. Su alta prevalencia, así como el curso insidioso de síntomas y múltiples manifestaciones clínicas, incluido el desarrollo de síndromes geriátricos, hacen que se convierta en una entidad de importancia en salud pública. </w:t>
      </w:r>
      <w:r w:rsidRPr="00AE3F13">
        <w:rPr>
          <w:rFonts w:ascii="Times New Roman" w:hAnsi="Times New Roman"/>
        </w:rPr>
        <w:t>Por consiguiente</w:t>
      </w:r>
      <w:r>
        <w:rPr>
          <w:rFonts w:ascii="Times New Roman" w:hAnsi="Times New Roman"/>
        </w:rPr>
        <w:t>,</w:t>
      </w:r>
      <w:r w:rsidRPr="00AE3F13">
        <w:rPr>
          <w:rFonts w:ascii="Times New Roman" w:hAnsi="Times New Roman"/>
        </w:rPr>
        <w:t xml:space="preserve"> se deben desarrollar intervenciones que incluyan su tamizaje y diagnóstico, con el objetivo de realizar un tratamiento temprano y oportuno con el fin evitar que sus complicaciones </w:t>
      </w:r>
      <w:r>
        <w:rPr>
          <w:rFonts w:ascii="Times New Roman" w:hAnsi="Times New Roman"/>
        </w:rPr>
        <w:t>se conviertan en</w:t>
      </w:r>
      <w:r w:rsidRPr="00AE3F13">
        <w:rPr>
          <w:rFonts w:ascii="Times New Roman" w:hAnsi="Times New Roman"/>
        </w:rPr>
        <w:t xml:space="preserve"> irreversibles.</w:t>
      </w:r>
    </w:p>
    <w:p w:rsidR="002C50B5" w:rsidRDefault="002C50B5" w:rsidP="002C50B5">
      <w:pPr>
        <w:pStyle w:val="Textoindependiente"/>
        <w:spacing w:line="360" w:lineRule="auto"/>
        <w:ind w:firstLine="284"/>
        <w:rPr>
          <w:rFonts w:ascii="Times New Roman" w:hAnsi="Times New Roman"/>
        </w:rPr>
      </w:pPr>
      <w:r w:rsidRPr="00C932CF">
        <w:rPr>
          <w:rFonts w:ascii="Times New Roman" w:hAnsi="Times New Roman"/>
          <w:b/>
          <w:i/>
        </w:rPr>
        <w:t>Conflicto de interés.</w:t>
      </w:r>
      <w:r>
        <w:rPr>
          <w:rFonts w:ascii="Times New Roman" w:hAnsi="Times New Roman"/>
        </w:rPr>
        <w:t xml:space="preserve"> El autor manifiesta no tener conflicto de interés relacionado con este estudio.</w:t>
      </w:r>
    </w:p>
    <w:p w:rsidR="002C50B5" w:rsidRDefault="002C50B5" w:rsidP="002C50B5">
      <w:pPr>
        <w:pStyle w:val="Textoindependiente"/>
        <w:spacing w:line="360" w:lineRule="auto"/>
        <w:rPr>
          <w:rFonts w:ascii="Times New Roman" w:hAnsi="Times New Roman"/>
        </w:rPr>
      </w:pPr>
    </w:p>
    <w:p w:rsidR="002C50B5" w:rsidRDefault="002C50B5" w:rsidP="002C50B5">
      <w:pPr>
        <w:pStyle w:val="Ttulo7"/>
        <w:autoSpaceDE w:val="0"/>
        <w:autoSpaceDN w:val="0"/>
        <w:adjustRightInd w:val="0"/>
        <w:spacing w:line="360" w:lineRule="auto"/>
        <w:rPr>
          <w:rFonts w:ascii="Times New Roman" w:hAnsi="Times New Roman"/>
          <w:lang w:val="en-US"/>
        </w:rPr>
      </w:pPr>
      <w:r w:rsidRPr="002C50B5">
        <w:rPr>
          <w:rFonts w:ascii="Times New Roman" w:hAnsi="Times New Roman"/>
          <w:lang w:val="es-CO"/>
        </w:rPr>
        <w:br w:type="page"/>
      </w:r>
      <w:r w:rsidRPr="00E7725B">
        <w:rPr>
          <w:rFonts w:ascii="Times New Roman" w:hAnsi="Times New Roman"/>
          <w:lang w:val="en-US"/>
        </w:rPr>
        <w:lastRenderedPageBreak/>
        <w:t>REFERENCIAS</w:t>
      </w:r>
    </w:p>
    <w:p w:rsidR="002C50B5" w:rsidRPr="00E7725B" w:rsidRDefault="002C50B5" w:rsidP="002C50B5">
      <w:pPr>
        <w:pStyle w:val="Ttulo7"/>
        <w:autoSpaceDE w:val="0"/>
        <w:autoSpaceDN w:val="0"/>
        <w:adjustRightInd w:val="0"/>
        <w:spacing w:line="360" w:lineRule="auto"/>
        <w:rPr>
          <w:rFonts w:ascii="Times New Roman" w:hAnsi="Times New Roman"/>
          <w:lang w:val="en-US"/>
        </w:rPr>
      </w:pPr>
    </w:p>
    <w:p w:rsidR="002C50B5" w:rsidRPr="00B76E64" w:rsidRDefault="002C50B5" w:rsidP="002C50B5">
      <w:pPr>
        <w:numPr>
          <w:ilvl w:val="0"/>
          <w:numId w:val="6"/>
        </w:numPr>
        <w:shd w:val="clear" w:color="auto" w:fill="FFFFFF"/>
        <w:spacing w:line="360" w:lineRule="auto"/>
        <w:jc w:val="both"/>
        <w:rPr>
          <w:lang w:val="en-US"/>
        </w:rPr>
      </w:pPr>
      <w:hyperlink r:id="rId7" w:history="1">
        <w:r w:rsidRPr="004C2437">
          <w:rPr>
            <w:rStyle w:val="Hipervnculo"/>
            <w:rFonts w:eastAsia="Arial Unicode MS"/>
            <w:lang w:val="en-US"/>
          </w:rPr>
          <w:t>Dali-Youcef N</w:t>
        </w:r>
      </w:hyperlink>
      <w:r w:rsidRPr="004C2437">
        <w:rPr>
          <w:lang w:val="en-US"/>
        </w:rPr>
        <w:t xml:space="preserve">, </w:t>
      </w:r>
      <w:hyperlink r:id="rId8" w:history="1">
        <w:r w:rsidRPr="004C2437">
          <w:rPr>
            <w:rStyle w:val="Hipervnculo"/>
            <w:rFonts w:eastAsia="Arial Unicode MS"/>
            <w:lang w:val="en-US"/>
          </w:rPr>
          <w:t>Andrès E</w:t>
        </w:r>
      </w:hyperlink>
      <w:r w:rsidRPr="004C2437">
        <w:rPr>
          <w:lang w:val="en-US"/>
        </w:rPr>
        <w:t xml:space="preserve">. An update on cobalamin deficiency in adults. </w:t>
      </w:r>
      <w:hyperlink r:id="rId9" w:tooltip="QJM : monthly journal of the Association of Physicians." w:history="1">
        <w:r w:rsidRPr="00AF31F6">
          <w:rPr>
            <w:rStyle w:val="Hipervnculo"/>
            <w:rFonts w:eastAsia="Arial Unicode MS"/>
            <w:i/>
            <w:lang w:val="en-US"/>
          </w:rPr>
          <w:t>QJM</w:t>
        </w:r>
      </w:hyperlink>
      <w:r w:rsidRPr="00AF31F6">
        <w:rPr>
          <w:i/>
        </w:rPr>
        <w:t>.</w:t>
      </w:r>
      <w:r w:rsidRPr="00AF31F6">
        <w:rPr>
          <w:i/>
          <w:lang w:val="en-US"/>
        </w:rPr>
        <w:t xml:space="preserve"> </w:t>
      </w:r>
      <w:r w:rsidRPr="00607697">
        <w:rPr>
          <w:lang w:val="en-US"/>
        </w:rPr>
        <w:t xml:space="preserve">2009; </w:t>
      </w:r>
      <w:r w:rsidRPr="00AF31F6">
        <w:rPr>
          <w:i/>
          <w:lang w:val="en-US"/>
        </w:rPr>
        <w:t>102:</w:t>
      </w:r>
      <w:r w:rsidRPr="00607697">
        <w:rPr>
          <w:lang w:val="en-US"/>
        </w:rPr>
        <w:t xml:space="preserve"> 17-28</w:t>
      </w:r>
      <w:r>
        <w:rPr>
          <w:lang w:val="en-US"/>
        </w:rPr>
        <w:t>.</w:t>
      </w:r>
    </w:p>
    <w:p w:rsidR="002C50B5" w:rsidRPr="00AF7A3D" w:rsidRDefault="002C50B5" w:rsidP="002C50B5">
      <w:pPr>
        <w:pStyle w:val="Ttulo1"/>
        <w:numPr>
          <w:ilvl w:val="0"/>
          <w:numId w:val="6"/>
        </w:numPr>
        <w:shd w:val="clear" w:color="auto" w:fill="FFFFFF"/>
        <w:spacing w:line="360" w:lineRule="auto"/>
        <w:jc w:val="both"/>
        <w:rPr>
          <w:rFonts w:ascii="Times New Roman" w:hAnsi="Times New Roman" w:cs="Times New Roman"/>
          <w:b w:val="0"/>
          <w:sz w:val="24"/>
        </w:rPr>
      </w:pPr>
      <w:r w:rsidRPr="00AF7A3D">
        <w:rPr>
          <w:rFonts w:ascii="Times New Roman" w:hAnsi="Times New Roman"/>
          <w:b w:val="0"/>
        </w:rPr>
        <w:t xml:space="preserve">Ocampo JM. Los grandes síndromes de la geriatría. </w:t>
      </w:r>
      <w:r w:rsidRPr="00AF7A3D">
        <w:rPr>
          <w:rFonts w:ascii="Times New Roman" w:hAnsi="Times New Roman"/>
          <w:b w:val="0"/>
          <w:i/>
          <w:iCs/>
        </w:rPr>
        <w:t>En:</w:t>
      </w:r>
      <w:r w:rsidRPr="00AF7A3D">
        <w:rPr>
          <w:rFonts w:ascii="Times New Roman" w:hAnsi="Times New Roman"/>
          <w:b w:val="0"/>
          <w:iCs/>
        </w:rPr>
        <w:t xml:space="preserve"> López JH</w:t>
      </w:r>
      <w:r w:rsidRPr="00AF7A3D">
        <w:rPr>
          <w:rFonts w:ascii="Times New Roman" w:hAnsi="Times New Roman"/>
          <w:b w:val="0"/>
          <w:lang w:val="es-MX"/>
        </w:rPr>
        <w:t xml:space="preserve"> (ed). </w:t>
      </w:r>
      <w:r w:rsidRPr="00AF7A3D">
        <w:rPr>
          <w:rFonts w:ascii="Times New Roman" w:hAnsi="Times New Roman"/>
          <w:b w:val="0"/>
          <w:i/>
        </w:rPr>
        <w:t>Semiología geriátrica: anamnesis y examen físico del anciano</w:t>
      </w:r>
      <w:r w:rsidRPr="00AF7A3D">
        <w:rPr>
          <w:rFonts w:ascii="Times New Roman" w:hAnsi="Times New Roman"/>
          <w:b w:val="0"/>
        </w:rPr>
        <w:t xml:space="preserve">. </w:t>
      </w:r>
      <w:r w:rsidRPr="00AF7A3D">
        <w:rPr>
          <w:rFonts w:ascii="Times New Roman" w:hAnsi="Times New Roman"/>
          <w:b w:val="0"/>
          <w:lang w:val="es-MX"/>
        </w:rPr>
        <w:t>Bogotá: Editorial Médica CELSUS; 2010. p. 327-48.</w:t>
      </w:r>
    </w:p>
    <w:p w:rsidR="002C50B5" w:rsidRPr="004C2437" w:rsidRDefault="002C50B5" w:rsidP="002C50B5">
      <w:pPr>
        <w:numPr>
          <w:ilvl w:val="0"/>
          <w:numId w:val="6"/>
        </w:numPr>
        <w:shd w:val="clear" w:color="auto" w:fill="FFFFFF"/>
        <w:spacing w:line="360" w:lineRule="auto"/>
        <w:jc w:val="both"/>
        <w:rPr>
          <w:lang w:val="en-US"/>
        </w:rPr>
      </w:pPr>
      <w:hyperlink r:id="rId10" w:history="1">
        <w:r w:rsidRPr="00D11052">
          <w:rPr>
            <w:rStyle w:val="Hipervnculo"/>
            <w:rFonts w:eastAsia="Arial Unicode MS"/>
            <w:lang w:val="en-US"/>
          </w:rPr>
          <w:t>Andrès E</w:t>
        </w:r>
      </w:hyperlink>
      <w:r w:rsidRPr="00D11052">
        <w:rPr>
          <w:lang w:val="en-US"/>
        </w:rPr>
        <w:t xml:space="preserve">, </w:t>
      </w:r>
      <w:hyperlink r:id="rId11" w:history="1">
        <w:r w:rsidRPr="00D11052">
          <w:rPr>
            <w:rStyle w:val="Hipervnculo"/>
            <w:rFonts w:eastAsia="Arial Unicode MS"/>
            <w:lang w:val="en-US"/>
          </w:rPr>
          <w:t>Vogel T</w:t>
        </w:r>
      </w:hyperlink>
      <w:r w:rsidRPr="00D11052">
        <w:rPr>
          <w:lang w:val="en-US"/>
        </w:rPr>
        <w:t xml:space="preserve">, </w:t>
      </w:r>
      <w:hyperlink r:id="rId12" w:history="1">
        <w:r w:rsidRPr="00D11052">
          <w:rPr>
            <w:rStyle w:val="Hipervnculo"/>
            <w:rFonts w:eastAsia="Arial Unicode MS"/>
            <w:lang w:val="en-US"/>
          </w:rPr>
          <w:t>Federici L</w:t>
        </w:r>
      </w:hyperlink>
      <w:r w:rsidRPr="00D11052">
        <w:rPr>
          <w:lang w:val="en-US"/>
        </w:rPr>
        <w:t xml:space="preserve">, </w:t>
      </w:r>
      <w:hyperlink r:id="rId13" w:history="1">
        <w:r w:rsidRPr="00D11052">
          <w:rPr>
            <w:rStyle w:val="Hipervnculo"/>
            <w:rFonts w:eastAsia="Arial Unicode MS"/>
            <w:lang w:val="en-US"/>
          </w:rPr>
          <w:t>Zimmer J</w:t>
        </w:r>
      </w:hyperlink>
      <w:r w:rsidRPr="00D11052">
        <w:rPr>
          <w:lang w:val="en-US"/>
        </w:rPr>
        <w:t xml:space="preserve">, </w:t>
      </w:r>
      <w:hyperlink r:id="rId14" w:history="1">
        <w:r w:rsidRPr="00D11052">
          <w:rPr>
            <w:rStyle w:val="Hipervnculo"/>
            <w:rFonts w:eastAsia="Arial Unicode MS"/>
            <w:lang w:val="en-US"/>
          </w:rPr>
          <w:t>Kaltenbach G</w:t>
        </w:r>
      </w:hyperlink>
      <w:r w:rsidRPr="00D11052">
        <w:rPr>
          <w:lang w:val="en-US"/>
        </w:rPr>
        <w:t>. Update on oral cyanocoba</w:t>
      </w:r>
      <w:r w:rsidRPr="004C2437">
        <w:rPr>
          <w:lang w:val="en-US"/>
        </w:rPr>
        <w:t xml:space="preserve">lamin (vitamin B12) treatment in elderly patients. </w:t>
      </w:r>
      <w:hyperlink r:id="rId15" w:tooltip="Drugs &amp; aging." w:history="1">
        <w:r w:rsidRPr="00AF31F6">
          <w:rPr>
            <w:rStyle w:val="Hipervnculo"/>
            <w:rFonts w:eastAsia="Arial Unicode MS"/>
            <w:i/>
          </w:rPr>
          <w:t>Drugs Aging.</w:t>
        </w:r>
      </w:hyperlink>
      <w:r w:rsidRPr="004C2437">
        <w:t xml:space="preserve"> 2008; </w:t>
      </w:r>
      <w:r w:rsidRPr="00AF31F6">
        <w:rPr>
          <w:i/>
        </w:rPr>
        <w:t>25:</w:t>
      </w:r>
      <w:r w:rsidRPr="004C2437">
        <w:t xml:space="preserve"> 927-32.</w:t>
      </w:r>
    </w:p>
    <w:p w:rsidR="002C50B5" w:rsidRPr="009A42C0" w:rsidRDefault="002C50B5" w:rsidP="002C50B5">
      <w:pPr>
        <w:numPr>
          <w:ilvl w:val="0"/>
          <w:numId w:val="6"/>
        </w:numPr>
        <w:shd w:val="clear" w:color="auto" w:fill="FFFFFF"/>
        <w:spacing w:line="360" w:lineRule="auto"/>
        <w:jc w:val="both"/>
        <w:rPr>
          <w:lang w:val="en-US"/>
        </w:rPr>
      </w:pPr>
      <w:hyperlink r:id="rId16" w:history="1">
        <w:r w:rsidRPr="000D71E7">
          <w:rPr>
            <w:rStyle w:val="Hipervnculo"/>
            <w:rFonts w:eastAsia="Arial Unicode MS"/>
          </w:rPr>
          <w:t>Dharmarajan TS</w:t>
        </w:r>
      </w:hyperlink>
      <w:r w:rsidRPr="000D71E7">
        <w:t xml:space="preserve">, </w:t>
      </w:r>
      <w:hyperlink r:id="rId17" w:history="1">
        <w:r w:rsidRPr="000D71E7">
          <w:rPr>
            <w:rStyle w:val="Hipervnculo"/>
            <w:rFonts w:eastAsia="Arial Unicode MS"/>
          </w:rPr>
          <w:t>Adiga GU</w:t>
        </w:r>
      </w:hyperlink>
      <w:r w:rsidRPr="000D71E7">
        <w:t xml:space="preserve">, </w:t>
      </w:r>
      <w:hyperlink r:id="rId18" w:history="1">
        <w:r w:rsidRPr="000D71E7">
          <w:rPr>
            <w:rStyle w:val="Hipervnculo"/>
            <w:rFonts w:eastAsia="Arial Unicode MS"/>
          </w:rPr>
          <w:t>Norkus EP</w:t>
        </w:r>
      </w:hyperlink>
      <w:r w:rsidRPr="000D71E7">
        <w:t>.</w:t>
      </w:r>
      <w:r>
        <w:t xml:space="preserve"> </w:t>
      </w:r>
      <w:r w:rsidRPr="002C50B5">
        <w:rPr>
          <w:lang w:val="en-US"/>
        </w:rPr>
        <w:t xml:space="preserve">Vitamin B12 deficiency. </w:t>
      </w:r>
      <w:r w:rsidRPr="000D71E7">
        <w:rPr>
          <w:lang w:val="en-US"/>
        </w:rPr>
        <w:t xml:space="preserve">Recognizing subtle symptoms in older adults. </w:t>
      </w:r>
      <w:hyperlink r:id="rId19" w:tooltip="Geriatrics." w:history="1">
        <w:r w:rsidRPr="002C50B5">
          <w:rPr>
            <w:rStyle w:val="Hipervnculo"/>
            <w:rFonts w:eastAsia="Arial Unicode MS"/>
            <w:i/>
            <w:lang w:val="en-US"/>
          </w:rPr>
          <w:t>Geriatrics</w:t>
        </w:r>
      </w:hyperlink>
      <w:r w:rsidRPr="002C50B5">
        <w:rPr>
          <w:i/>
          <w:lang w:val="en-US"/>
        </w:rPr>
        <w:t>.</w:t>
      </w:r>
      <w:r w:rsidRPr="002C50B5">
        <w:rPr>
          <w:lang w:val="en-US"/>
        </w:rPr>
        <w:t xml:space="preserve"> </w:t>
      </w:r>
      <w:r w:rsidRPr="009A42C0">
        <w:t xml:space="preserve">2003; </w:t>
      </w:r>
      <w:r w:rsidRPr="00410A8F">
        <w:rPr>
          <w:i/>
        </w:rPr>
        <w:t>58:</w:t>
      </w:r>
      <w:r w:rsidRPr="009A42C0">
        <w:t xml:space="preserve"> 30-4, 37-8.</w:t>
      </w:r>
      <w:r>
        <w:t xml:space="preserve"> </w:t>
      </w:r>
    </w:p>
    <w:p w:rsidR="002C50B5" w:rsidRPr="00C02C39" w:rsidRDefault="002C50B5" w:rsidP="002C50B5">
      <w:pPr>
        <w:numPr>
          <w:ilvl w:val="0"/>
          <w:numId w:val="6"/>
        </w:numPr>
        <w:shd w:val="clear" w:color="auto" w:fill="FFFFFF"/>
        <w:spacing w:line="360" w:lineRule="auto"/>
        <w:jc w:val="both"/>
      </w:pPr>
      <w:hyperlink r:id="rId20" w:history="1">
        <w:r w:rsidRPr="00C02C39">
          <w:rPr>
            <w:rStyle w:val="Hipervnculo"/>
            <w:rFonts w:eastAsia="Arial Unicode MS"/>
            <w:lang w:val="en-US"/>
          </w:rPr>
          <w:t>Stover PJ</w:t>
        </w:r>
      </w:hyperlink>
      <w:r w:rsidRPr="00C02C39">
        <w:rPr>
          <w:lang w:val="en-US"/>
        </w:rPr>
        <w:t xml:space="preserve">. Vitamin B12 and older adults. </w:t>
      </w:r>
      <w:hyperlink r:id="rId21" w:tooltip="Current opinion in clinical nutrition and metabolic care." w:history="1">
        <w:r w:rsidRPr="00410A8F">
          <w:rPr>
            <w:rStyle w:val="Hipervnculo"/>
            <w:rFonts w:eastAsia="Arial Unicode MS"/>
            <w:i/>
            <w:lang w:val="en-US"/>
          </w:rPr>
          <w:t>Curr Opin Clin Nutr Metab Care</w:t>
        </w:r>
      </w:hyperlink>
      <w:r w:rsidRPr="00410A8F">
        <w:rPr>
          <w:i/>
        </w:rPr>
        <w:t>.</w:t>
      </w:r>
      <w:r w:rsidRPr="00C02C39">
        <w:rPr>
          <w:lang w:val="en-US"/>
        </w:rPr>
        <w:t xml:space="preserve"> </w:t>
      </w:r>
      <w:r w:rsidRPr="00C02C39">
        <w:t>2010;</w:t>
      </w:r>
      <w:r>
        <w:t xml:space="preserve"> </w:t>
      </w:r>
      <w:r w:rsidRPr="00410A8F">
        <w:rPr>
          <w:i/>
        </w:rPr>
        <w:t>13:</w:t>
      </w:r>
      <w:r>
        <w:t xml:space="preserve"> </w:t>
      </w:r>
      <w:r w:rsidRPr="00C02C39">
        <w:t>24-7.</w:t>
      </w:r>
    </w:p>
    <w:p w:rsidR="002C50B5" w:rsidRDefault="002C50B5" w:rsidP="002C50B5">
      <w:pPr>
        <w:numPr>
          <w:ilvl w:val="0"/>
          <w:numId w:val="6"/>
        </w:numPr>
        <w:shd w:val="clear" w:color="auto" w:fill="FFFFFF"/>
        <w:spacing w:line="360" w:lineRule="auto"/>
        <w:jc w:val="both"/>
        <w:rPr>
          <w:lang w:val="en-US"/>
        </w:rPr>
      </w:pPr>
      <w:hyperlink r:id="rId22" w:history="1">
        <w:r w:rsidRPr="00153688">
          <w:rPr>
            <w:rStyle w:val="Hipervnculo"/>
            <w:rFonts w:eastAsia="Arial Unicode MS"/>
            <w:lang w:val="en-US"/>
          </w:rPr>
          <w:t>Wolters M</w:t>
        </w:r>
      </w:hyperlink>
      <w:r w:rsidRPr="00153688">
        <w:rPr>
          <w:lang w:val="en-US"/>
        </w:rPr>
        <w:t xml:space="preserve">, </w:t>
      </w:r>
      <w:hyperlink r:id="rId23" w:history="1">
        <w:r w:rsidRPr="00153688">
          <w:rPr>
            <w:rStyle w:val="Hipervnculo"/>
            <w:rFonts w:eastAsia="Arial Unicode MS"/>
            <w:lang w:val="en-US"/>
          </w:rPr>
          <w:t>Ströhle A</w:t>
        </w:r>
      </w:hyperlink>
      <w:r w:rsidRPr="00153688">
        <w:rPr>
          <w:lang w:val="en-US"/>
        </w:rPr>
        <w:t xml:space="preserve">, </w:t>
      </w:r>
      <w:hyperlink r:id="rId24" w:history="1">
        <w:r w:rsidRPr="00153688">
          <w:rPr>
            <w:rStyle w:val="Hipervnculo"/>
            <w:rFonts w:eastAsia="Arial Unicode MS"/>
            <w:lang w:val="en-US"/>
          </w:rPr>
          <w:t>Hahn A</w:t>
        </w:r>
      </w:hyperlink>
      <w:r w:rsidRPr="00153688">
        <w:rPr>
          <w:lang w:val="en-US"/>
        </w:rPr>
        <w:t xml:space="preserve">. Cobalamin: a critical vitamin in the elderly. </w:t>
      </w:r>
      <w:hyperlink r:id="rId25" w:tooltip="Preventive medicine." w:history="1">
        <w:r w:rsidRPr="00410A8F">
          <w:rPr>
            <w:rStyle w:val="Hipervnculo"/>
            <w:rFonts w:eastAsia="Arial Unicode MS"/>
            <w:i/>
            <w:lang w:val="en-US"/>
          </w:rPr>
          <w:t>Prev Med</w:t>
        </w:r>
      </w:hyperlink>
      <w:r w:rsidRPr="00410A8F">
        <w:rPr>
          <w:i/>
        </w:rPr>
        <w:t>.</w:t>
      </w:r>
      <w:r w:rsidRPr="00153688">
        <w:rPr>
          <w:lang w:val="en-US"/>
        </w:rPr>
        <w:t xml:space="preserve"> 2004;</w:t>
      </w:r>
      <w:r>
        <w:rPr>
          <w:lang w:val="en-US"/>
        </w:rPr>
        <w:t xml:space="preserve"> </w:t>
      </w:r>
      <w:r w:rsidRPr="00410A8F">
        <w:rPr>
          <w:i/>
          <w:lang w:val="en-US"/>
        </w:rPr>
        <w:t>39:</w:t>
      </w:r>
      <w:r w:rsidRPr="00153688">
        <w:rPr>
          <w:lang w:val="en-US"/>
        </w:rPr>
        <w:t xml:space="preserve"> 1256-66. </w:t>
      </w:r>
    </w:p>
    <w:p w:rsidR="002C50B5" w:rsidRDefault="002C50B5" w:rsidP="002C50B5">
      <w:pPr>
        <w:numPr>
          <w:ilvl w:val="0"/>
          <w:numId w:val="6"/>
        </w:numPr>
        <w:shd w:val="clear" w:color="auto" w:fill="FFFFFF"/>
        <w:spacing w:line="360" w:lineRule="auto"/>
        <w:jc w:val="both"/>
      </w:pPr>
      <w:hyperlink r:id="rId26" w:history="1">
        <w:r w:rsidRPr="00FA01C2">
          <w:rPr>
            <w:rStyle w:val="Hipervnculo"/>
            <w:rFonts w:eastAsia="Arial Unicode MS"/>
            <w:lang w:val="en-US"/>
          </w:rPr>
          <w:t>Andrès E</w:t>
        </w:r>
      </w:hyperlink>
      <w:r w:rsidRPr="00FA01C2">
        <w:rPr>
          <w:lang w:val="en-US"/>
        </w:rPr>
        <w:t xml:space="preserve">, </w:t>
      </w:r>
      <w:hyperlink r:id="rId27" w:history="1">
        <w:r w:rsidRPr="00FA01C2">
          <w:rPr>
            <w:rStyle w:val="Hipervnculo"/>
            <w:rFonts w:eastAsia="Arial Unicode MS"/>
            <w:lang w:val="en-US"/>
          </w:rPr>
          <w:t>Vidal-Alaball J</w:t>
        </w:r>
      </w:hyperlink>
      <w:r w:rsidRPr="00FA01C2">
        <w:rPr>
          <w:lang w:val="en-US"/>
        </w:rPr>
        <w:t xml:space="preserve">, </w:t>
      </w:r>
      <w:hyperlink r:id="rId28" w:history="1">
        <w:r w:rsidRPr="00FA01C2">
          <w:rPr>
            <w:rStyle w:val="Hipervnculo"/>
            <w:rFonts w:eastAsia="Arial Unicode MS"/>
            <w:lang w:val="en-US"/>
          </w:rPr>
          <w:t>Federici L</w:t>
        </w:r>
      </w:hyperlink>
      <w:r w:rsidRPr="00FA01C2">
        <w:rPr>
          <w:lang w:val="en-US"/>
        </w:rPr>
        <w:t xml:space="preserve">, </w:t>
      </w:r>
      <w:hyperlink r:id="rId29" w:history="1">
        <w:r w:rsidRPr="00FA01C2">
          <w:rPr>
            <w:rStyle w:val="Hipervnculo"/>
            <w:rFonts w:eastAsia="Arial Unicode MS"/>
            <w:lang w:val="en-US"/>
          </w:rPr>
          <w:t>Loukili NH</w:t>
        </w:r>
      </w:hyperlink>
      <w:r w:rsidRPr="00FA01C2">
        <w:rPr>
          <w:lang w:val="en-US"/>
        </w:rPr>
        <w:t xml:space="preserve">, </w:t>
      </w:r>
      <w:hyperlink r:id="rId30" w:history="1">
        <w:r w:rsidRPr="00FA01C2">
          <w:rPr>
            <w:rStyle w:val="Hipervnculo"/>
            <w:rFonts w:eastAsia="Arial Unicode MS"/>
            <w:lang w:val="en-US"/>
          </w:rPr>
          <w:t>Zimmer J</w:t>
        </w:r>
      </w:hyperlink>
      <w:r w:rsidRPr="00FA01C2">
        <w:rPr>
          <w:lang w:val="en-US"/>
        </w:rPr>
        <w:t xml:space="preserve">, </w:t>
      </w:r>
      <w:hyperlink r:id="rId31" w:history="1">
        <w:r w:rsidRPr="00FA01C2">
          <w:rPr>
            <w:rStyle w:val="Hipervnculo"/>
            <w:rFonts w:eastAsia="Arial Unicode MS"/>
            <w:lang w:val="en-US"/>
          </w:rPr>
          <w:t>Kaltenbach G</w:t>
        </w:r>
      </w:hyperlink>
      <w:r w:rsidRPr="00FA01C2">
        <w:rPr>
          <w:lang w:val="en-US"/>
        </w:rPr>
        <w:t xml:space="preserve">. Clinical aspects of cobalamin deficiency in elderly patients. Epidemiology, causes, clinical manifestations, and treatment with special focus on oral cobalamin therapy. </w:t>
      </w:r>
      <w:hyperlink r:id="rId32" w:tooltip="European journal of internal medicine." w:history="1">
        <w:r w:rsidRPr="00410A8F">
          <w:rPr>
            <w:rStyle w:val="Hipervnculo"/>
            <w:rFonts w:eastAsia="Arial Unicode MS"/>
            <w:i/>
          </w:rPr>
          <w:t>Eur J Intern Med</w:t>
        </w:r>
      </w:hyperlink>
      <w:r w:rsidRPr="00410A8F">
        <w:rPr>
          <w:i/>
        </w:rPr>
        <w:t>.</w:t>
      </w:r>
      <w:r w:rsidRPr="00153688">
        <w:t xml:space="preserve"> 2007;</w:t>
      </w:r>
      <w:r>
        <w:t xml:space="preserve"> </w:t>
      </w:r>
      <w:r w:rsidRPr="00410A8F">
        <w:rPr>
          <w:i/>
        </w:rPr>
        <w:t>18:</w:t>
      </w:r>
      <w:r>
        <w:t xml:space="preserve"> </w:t>
      </w:r>
      <w:r w:rsidRPr="00153688">
        <w:t>456-62</w:t>
      </w:r>
      <w:r>
        <w:t xml:space="preserve">. </w:t>
      </w:r>
    </w:p>
    <w:p w:rsidR="002C50B5" w:rsidRPr="00FA01C2" w:rsidRDefault="002C50B5" w:rsidP="002C50B5">
      <w:pPr>
        <w:numPr>
          <w:ilvl w:val="0"/>
          <w:numId w:val="6"/>
        </w:numPr>
        <w:shd w:val="clear" w:color="auto" w:fill="FFFFFF"/>
        <w:spacing w:line="360" w:lineRule="auto"/>
        <w:jc w:val="both"/>
      </w:pPr>
      <w:hyperlink r:id="rId33" w:history="1">
        <w:r w:rsidRPr="00FA01C2">
          <w:rPr>
            <w:rStyle w:val="Hipervnculo"/>
            <w:rFonts w:eastAsia="Arial Unicode MS"/>
            <w:lang w:val="en-US"/>
          </w:rPr>
          <w:t>Reynolds E</w:t>
        </w:r>
      </w:hyperlink>
      <w:r w:rsidRPr="00FA01C2">
        <w:rPr>
          <w:lang w:val="en-US"/>
        </w:rPr>
        <w:t xml:space="preserve">. Vitamin B12, folic acid, and the nervous system. </w:t>
      </w:r>
      <w:hyperlink r:id="rId34" w:tooltip="Lancet neurology." w:history="1">
        <w:r w:rsidRPr="00410A8F">
          <w:rPr>
            <w:rStyle w:val="Hipervnculo"/>
            <w:rFonts w:eastAsia="Arial Unicode MS"/>
            <w:i/>
            <w:lang w:val="es-CO"/>
          </w:rPr>
          <w:t xml:space="preserve">Lancet Neurol. </w:t>
        </w:r>
      </w:hyperlink>
      <w:r w:rsidRPr="00FA01C2">
        <w:t xml:space="preserve">2006; </w:t>
      </w:r>
      <w:r w:rsidRPr="00410A8F">
        <w:rPr>
          <w:i/>
        </w:rPr>
        <w:t>5:</w:t>
      </w:r>
      <w:r>
        <w:t xml:space="preserve"> </w:t>
      </w:r>
      <w:r w:rsidRPr="00FA01C2">
        <w:t>949-60.</w:t>
      </w:r>
    </w:p>
    <w:p w:rsidR="002C50B5" w:rsidRPr="00C932CF" w:rsidRDefault="002C50B5" w:rsidP="002C50B5">
      <w:pPr>
        <w:spacing w:line="360" w:lineRule="auto"/>
        <w:ind w:left="360"/>
        <w:rPr>
          <w:lang w:val="fr-FR"/>
        </w:rPr>
      </w:pPr>
      <w:r>
        <w:rPr>
          <w:color w:val="000000"/>
          <w:lang w:val="fr-FR"/>
        </w:rPr>
        <w:br w:type="page"/>
      </w:r>
    </w:p>
    <w:p w:rsidR="002C50B5" w:rsidRDefault="002C50B5" w:rsidP="002C50B5">
      <w:pPr>
        <w:spacing w:line="360" w:lineRule="auto"/>
        <w:jc w:val="center"/>
      </w:pPr>
      <w:r>
        <w:rPr>
          <w:noProof/>
          <w:lang w:val="es-CO" w:eastAsia="es-CO"/>
        </w:rPr>
        <w:lastRenderedPageBreak/>
        <w:drawing>
          <wp:inline distT="0" distB="0" distL="0" distR="0">
            <wp:extent cx="4605050" cy="3407410"/>
            <wp:effectExtent l="0" t="0" r="1875" b="0"/>
            <wp:docPr id="1" name="Objeto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29552" cy="5643602"/>
                      <a:chOff x="785786" y="357166"/>
                      <a:chExt cx="7429552" cy="5643602"/>
                    </a:xfrm>
                  </a:grpSpPr>
                  <a:grpSp>
                    <a:nvGrpSpPr>
                      <a:cNvPr id="10" name="9 Grupo"/>
                      <a:cNvGrpSpPr/>
                    </a:nvGrpSpPr>
                    <a:grpSpPr>
                      <a:xfrm>
                        <a:off x="785786" y="357166"/>
                        <a:ext cx="7429552" cy="5643602"/>
                        <a:chOff x="785786" y="357166"/>
                        <a:chExt cx="7429552" cy="5643602"/>
                      </a:xfrm>
                    </a:grpSpPr>
                    <a:pic>
                      <a:nvPicPr>
                        <a:cNvPr id="1026" name="Picture 2"/>
                        <a:cNvPicPr>
                          <a:picLocks noChangeAspect="1" noChangeArrowheads="1"/>
                        </a:cNvPicPr>
                      </a:nvPicPr>
                      <a:blipFill>
                        <a:blip r:embed="rId35" cstate="print"/>
                        <a:srcRect l="9259"/>
                        <a:stretch>
                          <a:fillRect/>
                        </a:stretch>
                      </a:blipFill>
                      <a:spPr bwMode="auto">
                        <a:xfrm>
                          <a:off x="4714908" y="357166"/>
                          <a:ext cx="3500430" cy="2857520"/>
                        </a:xfrm>
                        <a:prstGeom prst="rect">
                          <a:avLst/>
                        </a:prstGeom>
                        <a:noFill/>
                        <a:ln w="19050">
                          <a:solidFill>
                            <a:schemeClr val="tx1"/>
                          </a:solidFill>
                          <a:miter lim="800000"/>
                          <a:headEnd/>
                          <a:tailEnd/>
                        </a:ln>
                        <a:effectLst/>
                      </a:spPr>
                    </a:pic>
                    <a:pic>
                      <a:nvPicPr>
                        <a:cNvPr id="1027" name="Picture 3" descr="SDC10376"/>
                        <a:cNvPicPr>
                          <a:picLocks noChangeAspect="1" noChangeArrowheads="1"/>
                        </a:cNvPicPr>
                      </a:nvPicPr>
                      <a:blipFill>
                        <a:blip r:embed="rId36" cstate="print"/>
                        <a:srcRect r="5539"/>
                        <a:stretch>
                          <a:fillRect/>
                        </a:stretch>
                      </a:blipFill>
                      <a:spPr bwMode="auto">
                        <a:xfrm>
                          <a:off x="785786" y="357166"/>
                          <a:ext cx="3643338" cy="2857521"/>
                        </a:xfrm>
                        <a:prstGeom prst="rect">
                          <a:avLst/>
                        </a:prstGeom>
                        <a:noFill/>
                        <a:ln w="19050">
                          <a:solidFill>
                            <a:schemeClr val="tx1"/>
                          </a:solidFill>
                          <a:miter lim="800000"/>
                          <a:headEnd/>
                          <a:tailEnd/>
                        </a:ln>
                      </a:spPr>
                    </a:pic>
                    <a:pic>
                      <a:nvPicPr>
                        <a:cNvPr id="1029" name="Picture 5"/>
                        <a:cNvPicPr>
                          <a:picLocks noChangeAspect="1" noChangeArrowheads="1"/>
                        </a:cNvPicPr>
                      </a:nvPicPr>
                      <a:blipFill>
                        <a:blip r:embed="rId37" cstate="print">
                          <a:lum contrast="-10000"/>
                        </a:blip>
                        <a:srcRect l="4124" b="3779"/>
                        <a:stretch>
                          <a:fillRect/>
                        </a:stretch>
                      </a:blipFill>
                      <a:spPr bwMode="auto">
                        <a:xfrm>
                          <a:off x="785786" y="3500438"/>
                          <a:ext cx="3643338" cy="2500330"/>
                        </a:xfrm>
                        <a:prstGeom prst="rect">
                          <a:avLst/>
                        </a:prstGeom>
                        <a:noFill/>
                        <a:ln w="19050">
                          <a:solidFill>
                            <a:schemeClr val="tx1"/>
                          </a:solidFill>
                          <a:miter lim="800000"/>
                          <a:headEnd/>
                          <a:tailEnd/>
                        </a:ln>
                        <a:effectLst/>
                      </a:spPr>
                    </a:pic>
                    <a:pic>
                      <a:nvPicPr>
                        <a:cNvPr id="1031" name="Picture 7"/>
                        <a:cNvPicPr>
                          <a:picLocks noChangeAspect="1" noChangeArrowheads="1"/>
                        </a:cNvPicPr>
                      </a:nvPicPr>
                      <a:blipFill>
                        <a:blip r:embed="rId38" cstate="print"/>
                        <a:srcRect l="9091"/>
                        <a:stretch>
                          <a:fillRect/>
                        </a:stretch>
                      </a:blipFill>
                      <a:spPr bwMode="auto">
                        <a:xfrm>
                          <a:off x="4714876" y="3500438"/>
                          <a:ext cx="3500462" cy="2500330"/>
                        </a:xfrm>
                        <a:prstGeom prst="rect">
                          <a:avLst/>
                        </a:prstGeom>
                        <a:noFill/>
                        <a:ln w="19050">
                          <a:solidFill>
                            <a:schemeClr val="tx1"/>
                          </a:solidFill>
                          <a:miter lim="800000"/>
                          <a:headEnd/>
                          <a:tailEnd/>
                        </a:ln>
                        <a:effectLst/>
                      </a:spPr>
                    </a:pic>
                    <a:sp>
                      <a:nvSpPr>
                        <a:cNvPr id="6" name="5 CuadroTexto"/>
                        <a:cNvSpPr txBox="1"/>
                      </a:nvSpPr>
                      <a:spPr>
                        <a:xfrm>
                          <a:off x="794160" y="357166"/>
                          <a:ext cx="370614" cy="400110"/>
                        </a:xfrm>
                        <a:prstGeom prst="rect">
                          <a:avLst/>
                        </a:prstGeom>
                        <a:noFill/>
                        <a:ln>
                          <a:noFill/>
                        </a:ln>
                      </a:spPr>
                      <a:txSp>
                        <a:txBody>
                          <a:bodyPr wrap="non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2000" b="1" dirty="0" smtClean="0">
                                <a:latin typeface="Times New Roman" pitchFamily="18" charset="0"/>
                                <a:cs typeface="Times New Roman" pitchFamily="18" charset="0"/>
                              </a:rPr>
                              <a:t>A</a:t>
                            </a:r>
                            <a:endParaRPr lang="es-ES" sz="2000" b="1" dirty="0">
                              <a:latin typeface="Times New Roman" pitchFamily="18" charset="0"/>
                              <a:cs typeface="Times New Roman" pitchFamily="18" charset="0"/>
                            </a:endParaRPr>
                          </a:p>
                        </a:txBody>
                        <a:useSpRect/>
                      </a:txSp>
                    </a:sp>
                    <a:sp>
                      <a:nvSpPr>
                        <a:cNvPr id="7" name="6 Rectángulo"/>
                        <a:cNvSpPr/>
                      </a:nvSpPr>
                      <a:spPr>
                        <a:xfrm>
                          <a:off x="4714876" y="357166"/>
                          <a:ext cx="338554" cy="369332"/>
                        </a:xfrm>
                        <a:prstGeom prst="rect">
                          <a:avLst/>
                        </a:prstGeom>
                      </a:spPr>
                      <a:txSp>
                        <a:txBody>
                          <a:bodyPr wrap="none">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b="1" dirty="0" smtClean="0">
                                <a:latin typeface="Times New Roman" pitchFamily="18" charset="0"/>
                                <a:cs typeface="Times New Roman" pitchFamily="18" charset="0"/>
                              </a:rPr>
                              <a:t>B</a:t>
                            </a:r>
                            <a:endParaRPr lang="es-ES" b="1" dirty="0">
                              <a:latin typeface="Times New Roman" pitchFamily="18" charset="0"/>
                              <a:cs typeface="Times New Roman" pitchFamily="18" charset="0"/>
                            </a:endParaRPr>
                          </a:p>
                        </a:txBody>
                        <a:useSpRect/>
                      </a:txSp>
                    </a:sp>
                    <a:sp>
                      <a:nvSpPr>
                        <a:cNvPr id="8" name="7 Rectángulo"/>
                        <a:cNvSpPr/>
                      </a:nvSpPr>
                      <a:spPr>
                        <a:xfrm>
                          <a:off x="785786" y="3500438"/>
                          <a:ext cx="351378" cy="369332"/>
                        </a:xfrm>
                        <a:prstGeom prst="rect">
                          <a:avLst/>
                        </a:prstGeom>
                      </a:spPr>
                      <a:txSp>
                        <a:txBody>
                          <a:bodyPr wrap="none">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b="1" dirty="0" smtClean="0">
                                <a:latin typeface="Times New Roman" pitchFamily="18" charset="0"/>
                                <a:cs typeface="Times New Roman" pitchFamily="18" charset="0"/>
                              </a:rPr>
                              <a:t>C</a:t>
                            </a:r>
                            <a:endParaRPr lang="es-ES" b="1" dirty="0">
                              <a:latin typeface="Times New Roman" pitchFamily="18" charset="0"/>
                              <a:cs typeface="Times New Roman" pitchFamily="18" charset="0"/>
                            </a:endParaRPr>
                          </a:p>
                        </a:txBody>
                        <a:useSpRect/>
                      </a:txSp>
                    </a:sp>
                    <a:sp>
                      <a:nvSpPr>
                        <a:cNvPr id="9" name="8 Rectángulo"/>
                        <a:cNvSpPr/>
                      </a:nvSpPr>
                      <a:spPr>
                        <a:xfrm>
                          <a:off x="4714876" y="3500438"/>
                          <a:ext cx="351378" cy="369332"/>
                        </a:xfrm>
                        <a:prstGeom prst="rect">
                          <a:avLst/>
                        </a:prstGeom>
                      </a:spPr>
                      <a:txSp>
                        <a:txBody>
                          <a:bodyPr wrap="none">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b="1" dirty="0" smtClean="0">
                                <a:latin typeface="Times New Roman" pitchFamily="18" charset="0"/>
                                <a:cs typeface="Times New Roman" pitchFamily="18" charset="0"/>
                              </a:rPr>
                              <a:t>D</a:t>
                            </a:r>
                            <a:endParaRPr lang="es-ES" b="1" dirty="0">
                              <a:latin typeface="Times New Roman" pitchFamily="18" charset="0"/>
                              <a:cs typeface="Times New Roman" pitchFamily="18" charset="0"/>
                            </a:endParaRPr>
                          </a:p>
                        </a:txBody>
                        <a:useSpRect/>
                      </a:txSp>
                    </a:sp>
                  </a:grpSp>
                </lc:lockedCanvas>
              </a:graphicData>
            </a:graphic>
          </wp:inline>
        </w:drawing>
      </w:r>
    </w:p>
    <w:p w:rsidR="002C50B5" w:rsidRDefault="002C50B5" w:rsidP="002C50B5">
      <w:pPr>
        <w:pStyle w:val="Textoindependiente"/>
        <w:spacing w:line="360" w:lineRule="auto"/>
        <w:rPr>
          <w:rFonts w:ascii="Times New Roman" w:hAnsi="Times New Roman"/>
        </w:rPr>
      </w:pPr>
      <w:r w:rsidRPr="0047426C">
        <w:rPr>
          <w:rFonts w:ascii="Times New Roman" w:hAnsi="Times New Roman"/>
        </w:rPr>
        <w:t xml:space="preserve">Figura </w:t>
      </w:r>
      <w:r>
        <w:rPr>
          <w:rFonts w:ascii="Times New Roman" w:hAnsi="Times New Roman"/>
        </w:rPr>
        <w:t>1</w:t>
      </w:r>
      <w:r w:rsidRPr="0047426C">
        <w:rPr>
          <w:rFonts w:ascii="Times New Roman" w:hAnsi="Times New Roman"/>
        </w:rPr>
        <w:t xml:space="preserve">. </w:t>
      </w:r>
      <w:r>
        <w:rPr>
          <w:rFonts w:ascii="Times New Roman" w:hAnsi="Times New Roman"/>
        </w:rPr>
        <w:t>Glositis por deficiencia de vitamina B12, antes (A, B) y después del tratamiento (C, D)</w:t>
      </w:r>
    </w:p>
    <w:p w:rsidR="002C50B5" w:rsidRPr="008A527F" w:rsidRDefault="002C50B5" w:rsidP="002C50B5">
      <w:pPr>
        <w:autoSpaceDE w:val="0"/>
        <w:autoSpaceDN w:val="0"/>
        <w:adjustRightInd w:val="0"/>
        <w:spacing w:line="360" w:lineRule="auto"/>
      </w:pPr>
    </w:p>
    <w:p w:rsidR="002C50B5" w:rsidRDefault="002C50B5" w:rsidP="002C50B5">
      <w:pPr>
        <w:autoSpaceDE w:val="0"/>
        <w:autoSpaceDN w:val="0"/>
        <w:adjustRightInd w:val="0"/>
        <w:spacing w:line="360" w:lineRule="auto"/>
        <w:rPr>
          <w:lang w:val="fr-FR"/>
        </w:rPr>
      </w:pPr>
    </w:p>
    <w:p w:rsidR="002C50B5" w:rsidRDefault="002C50B5" w:rsidP="002C50B5">
      <w:pPr>
        <w:pStyle w:val="Textoindependiente"/>
        <w:spacing w:line="360" w:lineRule="auto"/>
        <w:jc w:val="center"/>
        <w:rPr>
          <w:rFonts w:ascii="Times New Roman" w:hAnsi="Times New Roman"/>
        </w:rPr>
      </w:pPr>
      <w:r>
        <w:rPr>
          <w:lang w:val="fr-FR"/>
        </w:rPr>
        <w:br w:type="page"/>
      </w:r>
      <w:r>
        <w:rPr>
          <w:noProof/>
          <w:lang w:val="es-CO" w:eastAsia="es-CO"/>
        </w:rPr>
        <w:lastRenderedPageBreak/>
        <w:drawing>
          <wp:inline distT="0" distB="0" distL="0" distR="0">
            <wp:extent cx="4461510" cy="420497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srcRect l="11349" t="11554" r="34753" b="7245"/>
                    <a:stretch>
                      <a:fillRect/>
                    </a:stretch>
                  </pic:blipFill>
                  <pic:spPr bwMode="auto">
                    <a:xfrm>
                      <a:off x="0" y="0"/>
                      <a:ext cx="4461510" cy="4204970"/>
                    </a:xfrm>
                    <a:prstGeom prst="rect">
                      <a:avLst/>
                    </a:prstGeom>
                    <a:noFill/>
                    <a:ln w="9525">
                      <a:noFill/>
                      <a:miter lim="800000"/>
                      <a:headEnd/>
                      <a:tailEnd/>
                    </a:ln>
                  </pic:spPr>
                </pic:pic>
              </a:graphicData>
            </a:graphic>
          </wp:inline>
        </w:drawing>
      </w:r>
    </w:p>
    <w:p w:rsidR="002C50B5" w:rsidRPr="0047426C" w:rsidRDefault="002C50B5" w:rsidP="002C50B5">
      <w:pPr>
        <w:pStyle w:val="Textoindependiente"/>
        <w:spacing w:line="360" w:lineRule="auto"/>
        <w:rPr>
          <w:rFonts w:ascii="Times New Roman" w:hAnsi="Times New Roman"/>
        </w:rPr>
      </w:pPr>
      <w:r w:rsidRPr="0047426C">
        <w:rPr>
          <w:rFonts w:ascii="Times New Roman" w:hAnsi="Times New Roman"/>
        </w:rPr>
        <w:t>Figura 2. Columna cervical y torácica, imagen de resonancia magnética en secuencia T2. (</w:t>
      </w:r>
      <w:r>
        <w:rPr>
          <w:rFonts w:ascii="Times New Roman" w:hAnsi="Times New Roman"/>
        </w:rPr>
        <w:t>A</w:t>
      </w:r>
      <w:r w:rsidRPr="0047426C">
        <w:rPr>
          <w:rFonts w:ascii="Times New Roman" w:hAnsi="Times New Roman"/>
        </w:rPr>
        <w:t xml:space="preserve">) Plano sagital, muestra hiperintensidad en topografía de cordones </w:t>
      </w:r>
      <w:r>
        <w:rPr>
          <w:rFonts w:ascii="Times New Roman" w:hAnsi="Times New Roman"/>
        </w:rPr>
        <w:t xml:space="preserve">medulares </w:t>
      </w:r>
      <w:r w:rsidRPr="0047426C">
        <w:rPr>
          <w:rFonts w:ascii="Times New Roman" w:hAnsi="Times New Roman"/>
        </w:rPr>
        <w:t>posteriores</w:t>
      </w:r>
      <w:r>
        <w:rPr>
          <w:rFonts w:ascii="Times New Roman" w:hAnsi="Times New Roman"/>
        </w:rPr>
        <w:t xml:space="preserve"> </w:t>
      </w:r>
      <w:r w:rsidRPr="0047426C">
        <w:rPr>
          <w:rFonts w:ascii="Times New Roman" w:hAnsi="Times New Roman"/>
        </w:rPr>
        <w:t>desde C1 hasta T11. (</w:t>
      </w:r>
      <w:r>
        <w:rPr>
          <w:rFonts w:ascii="Times New Roman" w:hAnsi="Times New Roman"/>
        </w:rPr>
        <w:t>B</w:t>
      </w:r>
      <w:r w:rsidRPr="0047426C">
        <w:rPr>
          <w:rFonts w:ascii="Times New Roman" w:hAnsi="Times New Roman"/>
        </w:rPr>
        <w:t xml:space="preserve">, </w:t>
      </w:r>
      <w:r>
        <w:rPr>
          <w:rFonts w:ascii="Times New Roman" w:hAnsi="Times New Roman"/>
        </w:rPr>
        <w:t>C</w:t>
      </w:r>
      <w:r w:rsidRPr="0047426C">
        <w:rPr>
          <w:rFonts w:ascii="Times New Roman" w:hAnsi="Times New Roman"/>
        </w:rPr>
        <w:t>) Plano axial a nivel de C1 y T8 respectivamente, evidencia hiperintensidad que compromete cordones</w:t>
      </w:r>
      <w:r>
        <w:rPr>
          <w:rFonts w:ascii="Times New Roman" w:hAnsi="Times New Roman"/>
        </w:rPr>
        <w:t xml:space="preserve"> medulares laterales y</w:t>
      </w:r>
      <w:r w:rsidRPr="0047426C">
        <w:rPr>
          <w:rFonts w:ascii="Times New Roman" w:hAnsi="Times New Roman"/>
        </w:rPr>
        <w:t xml:space="preserve"> posteriores de manera simétrica. </w:t>
      </w:r>
    </w:p>
    <w:p w:rsidR="002C50B5" w:rsidRDefault="002C50B5" w:rsidP="002C50B5">
      <w:pPr>
        <w:pStyle w:val="Textoindependiente"/>
        <w:spacing w:line="360" w:lineRule="auto"/>
        <w:jc w:val="center"/>
        <w:rPr>
          <w:rFonts w:ascii="Times New Roman" w:hAnsi="Times New Roman"/>
        </w:rPr>
      </w:pPr>
      <w:r>
        <w:rPr>
          <w:lang w:val="fr-FR"/>
        </w:rPr>
        <w:br w:type="page"/>
      </w:r>
      <w:r>
        <w:rPr>
          <w:rFonts w:ascii="Times New Roman" w:hAnsi="Times New Roman"/>
        </w:rPr>
        <w:lastRenderedPageBreak/>
        <w:t>Cuadro 1</w:t>
      </w:r>
    </w:p>
    <w:p w:rsidR="002C50B5" w:rsidRDefault="002C50B5" w:rsidP="002C50B5">
      <w:pPr>
        <w:pStyle w:val="Textoindependiente"/>
        <w:spacing w:line="360" w:lineRule="auto"/>
        <w:jc w:val="center"/>
        <w:rPr>
          <w:rFonts w:ascii="Times New Roman" w:hAnsi="Times New Roman"/>
        </w:rPr>
      </w:pPr>
      <w:r>
        <w:rPr>
          <w:rFonts w:ascii="Times New Roman" w:hAnsi="Times New Roman"/>
        </w:rPr>
        <w:t>Resultados de laboratorio</w:t>
      </w:r>
    </w:p>
    <w:p w:rsidR="002C50B5" w:rsidRDefault="002C50B5" w:rsidP="002C50B5">
      <w:pPr>
        <w:pStyle w:val="Textoindependiente"/>
        <w:spacing w:line="360" w:lineRule="auto"/>
        <w:jc w:val="center"/>
        <w:rPr>
          <w:rFonts w:ascii="Times New Roman" w:hAnsi="Times New Roman"/>
        </w:rPr>
      </w:pPr>
    </w:p>
    <w:tbl>
      <w:tblPr>
        <w:tblW w:w="0" w:type="auto"/>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33"/>
        <w:gridCol w:w="1984"/>
        <w:gridCol w:w="1418"/>
      </w:tblGrid>
      <w:tr w:rsidR="002C50B5" w:rsidRPr="00C932CF" w:rsidTr="004A6A51">
        <w:trPr>
          <w:jc w:val="center"/>
        </w:trPr>
        <w:tc>
          <w:tcPr>
            <w:tcW w:w="3633" w:type="dxa"/>
            <w:vAlign w:val="center"/>
          </w:tcPr>
          <w:p w:rsidR="002C50B5" w:rsidRPr="00C932CF" w:rsidRDefault="002C50B5" w:rsidP="004A6A51">
            <w:pPr>
              <w:pStyle w:val="Textoindependiente"/>
              <w:spacing w:line="276" w:lineRule="auto"/>
              <w:jc w:val="center"/>
              <w:rPr>
                <w:rFonts w:ascii="Times New Roman" w:hAnsi="Times New Roman"/>
                <w:b/>
              </w:rPr>
            </w:pPr>
            <w:r w:rsidRPr="00C932CF">
              <w:rPr>
                <w:rFonts w:ascii="Times New Roman" w:hAnsi="Times New Roman"/>
                <w:b/>
              </w:rPr>
              <w:t>Variable</w:t>
            </w:r>
          </w:p>
        </w:tc>
        <w:tc>
          <w:tcPr>
            <w:tcW w:w="1984" w:type="dxa"/>
            <w:vAlign w:val="center"/>
          </w:tcPr>
          <w:p w:rsidR="002C50B5" w:rsidRPr="00C932CF" w:rsidRDefault="002C50B5" w:rsidP="004A6A51">
            <w:pPr>
              <w:pStyle w:val="Textoindependiente"/>
              <w:spacing w:line="276" w:lineRule="auto"/>
              <w:jc w:val="center"/>
              <w:rPr>
                <w:rFonts w:ascii="Times New Roman" w:hAnsi="Times New Roman"/>
                <w:b/>
              </w:rPr>
            </w:pPr>
            <w:r w:rsidRPr="00C932CF">
              <w:rPr>
                <w:rFonts w:ascii="Times New Roman" w:hAnsi="Times New Roman"/>
                <w:b/>
              </w:rPr>
              <w:t>Rango de referencia, adulto*</w:t>
            </w:r>
          </w:p>
        </w:tc>
        <w:tc>
          <w:tcPr>
            <w:tcW w:w="1418" w:type="dxa"/>
            <w:vAlign w:val="center"/>
          </w:tcPr>
          <w:p w:rsidR="002C50B5" w:rsidRPr="00C932CF" w:rsidRDefault="002C50B5" w:rsidP="004A6A51">
            <w:pPr>
              <w:pStyle w:val="Textoindependiente"/>
              <w:spacing w:line="276" w:lineRule="auto"/>
              <w:jc w:val="center"/>
              <w:rPr>
                <w:rFonts w:ascii="Times New Roman" w:hAnsi="Times New Roman"/>
                <w:b/>
              </w:rPr>
            </w:pPr>
            <w:r w:rsidRPr="00C932CF">
              <w:rPr>
                <w:rFonts w:ascii="Times New Roman" w:hAnsi="Times New Roman"/>
                <w:b/>
              </w:rPr>
              <w:t>Valor de la paciente</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Hematocrito (%)</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35-48</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23.1</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Hemoglobina (g/dl)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12-16</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7.7</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Volumen corpuscular medio (</w:t>
            </w:r>
            <w:r w:rsidRPr="00B6367A">
              <w:rPr>
                <w:rFonts w:ascii="Symbol" w:hAnsi="Symbol"/>
              </w:rPr>
              <w:t></w:t>
            </w:r>
            <w:r w:rsidRPr="00C932CF">
              <w:rPr>
                <w:rFonts w:ascii="Times New Roman" w:hAnsi="Times New Roman"/>
              </w:rPr>
              <w:t>m</w:t>
            </w:r>
            <w:r w:rsidRPr="00C932CF">
              <w:rPr>
                <w:rFonts w:ascii="Times New Roman" w:hAnsi="Times New Roman"/>
                <w:vertAlign w:val="superscript"/>
              </w:rPr>
              <w:t>3</w:t>
            </w:r>
            <w:r w:rsidRPr="00C932CF">
              <w:rPr>
                <w:rFonts w:ascii="Times New Roman" w:hAnsi="Times New Roman"/>
              </w:rPr>
              <w:t>)</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80-96</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112.4</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Hemoglobina corpuscular media (pg)</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27-33</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37.5</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Ancho de distribución eritrocitaria (%)</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11-16</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28</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Leucocitos (por mm</w:t>
            </w:r>
            <w:r w:rsidRPr="00C932CF">
              <w:rPr>
                <w:rFonts w:ascii="Times New Roman" w:hAnsi="Times New Roman"/>
                <w:vertAlign w:val="superscript"/>
              </w:rPr>
              <w:t>3</w:t>
            </w:r>
            <w:r w:rsidRPr="00C932CF">
              <w:rPr>
                <w:rFonts w:ascii="Times New Roman" w:hAnsi="Times New Roman"/>
              </w:rPr>
              <w:t>/µl)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4-10</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5900</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Conteo diferencial (%)</w:t>
            </w:r>
          </w:p>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Neutrófilos</w:t>
            </w:r>
          </w:p>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Linfocitos</w:t>
            </w:r>
          </w:p>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Monocitos</w:t>
            </w:r>
          </w:p>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Eosinófilos</w:t>
            </w:r>
          </w:p>
        </w:tc>
        <w:tc>
          <w:tcPr>
            <w:tcW w:w="1984" w:type="dxa"/>
          </w:tcPr>
          <w:p w:rsidR="002C50B5" w:rsidRPr="00C932CF" w:rsidRDefault="002C50B5" w:rsidP="004A6A51">
            <w:pPr>
              <w:pStyle w:val="Textoindependiente"/>
              <w:spacing w:line="276" w:lineRule="auto"/>
              <w:jc w:val="center"/>
              <w:rPr>
                <w:rFonts w:ascii="Times New Roman" w:hAnsi="Times New Roman"/>
              </w:rPr>
            </w:pP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45-69</w:t>
            </w: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15-50</w:t>
            </w: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0-1</w:t>
            </w: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0-0.5</w:t>
            </w:r>
          </w:p>
        </w:tc>
        <w:tc>
          <w:tcPr>
            <w:tcW w:w="1418" w:type="dxa"/>
          </w:tcPr>
          <w:p w:rsidR="002C50B5" w:rsidRPr="00C932CF" w:rsidRDefault="002C50B5" w:rsidP="004A6A51">
            <w:pPr>
              <w:pStyle w:val="Textoindependiente"/>
              <w:spacing w:line="276" w:lineRule="auto"/>
              <w:jc w:val="center"/>
              <w:rPr>
                <w:rFonts w:ascii="Times New Roman" w:hAnsi="Times New Roman"/>
              </w:rPr>
            </w:pP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48.4</w:t>
            </w: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36.4</w:t>
            </w: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11.1</w:t>
            </w:r>
          </w:p>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4.5</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Plaquetas (por mm</w:t>
            </w:r>
            <w:r w:rsidRPr="00C932CF">
              <w:rPr>
                <w:rFonts w:ascii="Times New Roman" w:hAnsi="Times New Roman"/>
                <w:vertAlign w:val="superscript"/>
              </w:rPr>
              <w:t>3</w:t>
            </w:r>
            <w:r w:rsidRPr="00C932CF">
              <w:rPr>
                <w:rFonts w:ascii="Times New Roman" w:hAnsi="Times New Roman"/>
              </w:rPr>
              <w:t>/ µl)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150-450</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311</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Sodio (mmol/l)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136-146</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139</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Potasio (mmol/l)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3.5-5</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4.2</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Cloro (mmol/l)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98-106</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103</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Creatinina (mg/dl)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0-5-1.1</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0.8</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Nitrógeno ureico (mg/dl)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6-20</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15</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Glicemia (mg/dl)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70-110</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79</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Creatin quinasa (U/litro)</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24-195</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54</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Lactato deshidrogensa (U/litro)</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230-460</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789</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TSH ultrasensible (ulU/ml)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0.3-5.5</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1.7</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Vitamina B12 (pg/ml)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211-911</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45</w:t>
            </w:r>
          </w:p>
        </w:tc>
      </w:tr>
      <w:tr w:rsidR="002C50B5" w:rsidRPr="00C932CF" w:rsidTr="004A6A51">
        <w:trPr>
          <w:jc w:val="center"/>
        </w:trPr>
        <w:tc>
          <w:tcPr>
            <w:tcW w:w="3633" w:type="dxa"/>
          </w:tcPr>
          <w:p w:rsidR="002C50B5" w:rsidRPr="00C932CF" w:rsidRDefault="002C50B5" w:rsidP="004A6A51">
            <w:pPr>
              <w:pStyle w:val="Textoindependiente"/>
              <w:spacing w:line="276" w:lineRule="auto"/>
              <w:rPr>
                <w:rFonts w:ascii="Times New Roman" w:hAnsi="Times New Roman"/>
              </w:rPr>
            </w:pPr>
            <w:r w:rsidRPr="00C932CF">
              <w:rPr>
                <w:rFonts w:ascii="Times New Roman" w:hAnsi="Times New Roman"/>
              </w:rPr>
              <w:t>Ácido fólico (ng/ml)</w:t>
            </w:r>
          </w:p>
        </w:tc>
        <w:tc>
          <w:tcPr>
            <w:tcW w:w="1984"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&gt; 5.3</w:t>
            </w:r>
          </w:p>
        </w:tc>
        <w:tc>
          <w:tcPr>
            <w:tcW w:w="1418" w:type="dxa"/>
          </w:tcPr>
          <w:p w:rsidR="002C50B5" w:rsidRPr="00C932CF" w:rsidRDefault="002C50B5" w:rsidP="004A6A51">
            <w:pPr>
              <w:pStyle w:val="Textoindependiente"/>
              <w:spacing w:line="276" w:lineRule="auto"/>
              <w:jc w:val="center"/>
              <w:rPr>
                <w:rFonts w:ascii="Times New Roman" w:hAnsi="Times New Roman"/>
              </w:rPr>
            </w:pPr>
            <w:r w:rsidRPr="00C932CF">
              <w:rPr>
                <w:rFonts w:ascii="Times New Roman" w:hAnsi="Times New Roman"/>
              </w:rPr>
              <w:t>13.4</w:t>
            </w:r>
          </w:p>
        </w:tc>
      </w:tr>
      <w:tr w:rsidR="002C50B5" w:rsidRPr="00C932CF" w:rsidTr="004A6A51">
        <w:trPr>
          <w:jc w:val="center"/>
        </w:trPr>
        <w:tc>
          <w:tcPr>
            <w:tcW w:w="7035" w:type="dxa"/>
            <w:gridSpan w:val="3"/>
          </w:tcPr>
          <w:p w:rsidR="002C50B5" w:rsidRDefault="002C50B5" w:rsidP="004A6A51">
            <w:pPr>
              <w:pStyle w:val="Textoindependiente"/>
              <w:spacing w:line="276" w:lineRule="auto"/>
              <w:rPr>
                <w:rFonts w:ascii="Times New Roman" w:hAnsi="Times New Roman"/>
                <w:sz w:val="20"/>
                <w:szCs w:val="20"/>
              </w:rPr>
            </w:pPr>
          </w:p>
          <w:p w:rsidR="002C50B5" w:rsidRPr="00C932CF" w:rsidRDefault="002C50B5" w:rsidP="004A6A51">
            <w:pPr>
              <w:pStyle w:val="Textoindependiente"/>
              <w:spacing w:line="276" w:lineRule="auto"/>
              <w:rPr>
                <w:rFonts w:ascii="Times New Roman" w:hAnsi="Times New Roman"/>
                <w:sz w:val="20"/>
                <w:szCs w:val="20"/>
              </w:rPr>
            </w:pPr>
            <w:r w:rsidRPr="00C932CF">
              <w:rPr>
                <w:rFonts w:ascii="Times New Roman" w:hAnsi="Times New Roman"/>
                <w:sz w:val="20"/>
                <w:szCs w:val="20"/>
              </w:rPr>
              <w:t>* Los valores de referencia pueden ser afectados por múltiples variables, incluyendo la población de pacientes y métodos de laboratorio empleados. Los rangos descritos son para personas adultas no embarazadas y sin condiciones médicas que afecten los resultados.</w:t>
            </w:r>
          </w:p>
        </w:tc>
      </w:tr>
    </w:tbl>
    <w:p w:rsidR="002C50B5" w:rsidRDefault="002C50B5" w:rsidP="002C50B5">
      <w:pPr>
        <w:spacing w:line="360" w:lineRule="auto"/>
        <w:jc w:val="center"/>
        <w:rPr>
          <w:lang w:val="es-MX"/>
        </w:rPr>
      </w:pPr>
      <w:r>
        <w:rPr>
          <w:lang w:val="fr-FR"/>
        </w:rPr>
        <w:br w:type="page"/>
      </w:r>
      <w:r>
        <w:rPr>
          <w:lang w:val="es-MX"/>
        </w:rPr>
        <w:lastRenderedPageBreak/>
        <w:t>Cuadro 2</w:t>
      </w:r>
    </w:p>
    <w:p w:rsidR="002C50B5" w:rsidRDefault="002C50B5" w:rsidP="002C50B5">
      <w:pPr>
        <w:spacing w:line="360" w:lineRule="auto"/>
        <w:jc w:val="center"/>
        <w:rPr>
          <w:lang w:val="es-MX"/>
        </w:rPr>
      </w:pPr>
      <w:r>
        <w:rPr>
          <w:lang w:val="es-MX"/>
        </w:rPr>
        <w:t>Relación entre manifestación clínica de déficit de B12 y síndrome geriátricos</w:t>
      </w:r>
    </w:p>
    <w:p w:rsidR="002C50B5" w:rsidRDefault="002C50B5" w:rsidP="002C50B5">
      <w:pPr>
        <w:spacing w:line="360" w:lineRule="auto"/>
        <w:rPr>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9"/>
        <w:gridCol w:w="4489"/>
      </w:tblGrid>
      <w:tr w:rsidR="002C50B5" w:rsidRPr="00C932CF" w:rsidTr="004A6A51">
        <w:trPr>
          <w:trHeight w:val="518"/>
        </w:trPr>
        <w:tc>
          <w:tcPr>
            <w:tcW w:w="4489" w:type="dxa"/>
            <w:vAlign w:val="center"/>
          </w:tcPr>
          <w:p w:rsidR="002C50B5" w:rsidRPr="00C932CF" w:rsidRDefault="002C50B5" w:rsidP="004A6A51">
            <w:pPr>
              <w:spacing w:line="276" w:lineRule="auto"/>
              <w:rPr>
                <w:b/>
                <w:lang w:val="es-MX"/>
              </w:rPr>
            </w:pPr>
            <w:r w:rsidRPr="00C932CF">
              <w:rPr>
                <w:b/>
                <w:lang w:val="es-MX"/>
              </w:rPr>
              <w:t>Manifestación clínica de déficit de B12</w:t>
            </w:r>
          </w:p>
        </w:tc>
        <w:tc>
          <w:tcPr>
            <w:tcW w:w="4489" w:type="dxa"/>
            <w:vAlign w:val="center"/>
          </w:tcPr>
          <w:p w:rsidR="002C50B5" w:rsidRPr="00C932CF" w:rsidRDefault="002C50B5" w:rsidP="004A6A51">
            <w:pPr>
              <w:spacing w:line="276" w:lineRule="auto"/>
              <w:rPr>
                <w:b/>
                <w:lang w:val="es-MX"/>
              </w:rPr>
            </w:pPr>
            <w:r w:rsidRPr="00C932CF">
              <w:rPr>
                <w:b/>
                <w:lang w:val="es-MX"/>
              </w:rPr>
              <w:t>Síndrome geriátrico</w:t>
            </w:r>
          </w:p>
        </w:tc>
      </w:tr>
      <w:tr w:rsidR="002C50B5" w:rsidRPr="00C932CF" w:rsidTr="004A6A51">
        <w:tc>
          <w:tcPr>
            <w:tcW w:w="4489" w:type="dxa"/>
            <w:vAlign w:val="center"/>
          </w:tcPr>
          <w:p w:rsidR="002C50B5" w:rsidRPr="00C932CF" w:rsidRDefault="002C50B5" w:rsidP="004A6A51">
            <w:pPr>
              <w:spacing w:line="276" w:lineRule="auto"/>
              <w:rPr>
                <w:b/>
                <w:i/>
                <w:lang w:val="es-MX"/>
              </w:rPr>
            </w:pPr>
            <w:r w:rsidRPr="00C932CF">
              <w:rPr>
                <w:b/>
                <w:i/>
                <w:lang w:val="es-MX"/>
              </w:rPr>
              <w:t>Hematológicos:</w:t>
            </w:r>
          </w:p>
          <w:p w:rsidR="002C50B5" w:rsidRPr="00C932CF" w:rsidRDefault="002C50B5" w:rsidP="004A6A51">
            <w:pPr>
              <w:spacing w:line="276" w:lineRule="auto"/>
              <w:rPr>
                <w:lang w:val="es-MX"/>
              </w:rPr>
            </w:pPr>
            <w:r w:rsidRPr="00C932CF">
              <w:rPr>
                <w:lang w:val="es-MX"/>
              </w:rPr>
              <w:t>Anemia megaloblástica</w:t>
            </w:r>
          </w:p>
          <w:p w:rsidR="002C50B5" w:rsidRPr="00C932CF" w:rsidRDefault="002C50B5" w:rsidP="004A6A51">
            <w:pPr>
              <w:spacing w:line="276" w:lineRule="auto"/>
              <w:rPr>
                <w:lang w:val="es-MX"/>
              </w:rPr>
            </w:pPr>
            <w:r w:rsidRPr="00C932CF">
              <w:rPr>
                <w:lang w:val="es-MX"/>
              </w:rPr>
              <w:t>Pancitopenia</w:t>
            </w:r>
          </w:p>
        </w:tc>
        <w:tc>
          <w:tcPr>
            <w:tcW w:w="4489" w:type="dxa"/>
            <w:vAlign w:val="center"/>
          </w:tcPr>
          <w:p w:rsidR="002C50B5" w:rsidRPr="00C932CF" w:rsidRDefault="002C50B5" w:rsidP="004A6A51">
            <w:pPr>
              <w:spacing w:line="276" w:lineRule="auto"/>
              <w:rPr>
                <w:lang w:val="es-MX"/>
              </w:rPr>
            </w:pPr>
            <w:r w:rsidRPr="00C932CF">
              <w:rPr>
                <w:lang w:val="es-MX"/>
              </w:rPr>
              <w:t>Anergia</w:t>
            </w:r>
          </w:p>
        </w:tc>
      </w:tr>
      <w:tr w:rsidR="002C50B5" w:rsidRPr="00C932CF" w:rsidTr="004A6A51">
        <w:tc>
          <w:tcPr>
            <w:tcW w:w="4489" w:type="dxa"/>
            <w:vAlign w:val="center"/>
          </w:tcPr>
          <w:p w:rsidR="002C50B5" w:rsidRPr="00C932CF" w:rsidRDefault="002C50B5" w:rsidP="004A6A51">
            <w:pPr>
              <w:spacing w:line="276" w:lineRule="auto"/>
              <w:rPr>
                <w:b/>
                <w:i/>
                <w:lang w:val="es-MX"/>
              </w:rPr>
            </w:pPr>
            <w:r w:rsidRPr="00C932CF">
              <w:rPr>
                <w:b/>
                <w:i/>
                <w:lang w:val="es-MX"/>
              </w:rPr>
              <w:t>Neurológicas:</w:t>
            </w:r>
          </w:p>
          <w:p w:rsidR="002C50B5" w:rsidRPr="00C932CF" w:rsidRDefault="002C50B5" w:rsidP="004A6A51">
            <w:pPr>
              <w:spacing w:line="276" w:lineRule="auto"/>
            </w:pPr>
            <w:r w:rsidRPr="00C932CF">
              <w:t>Degeneración combinada subaguda de la medula</w:t>
            </w:r>
          </w:p>
          <w:p w:rsidR="002C50B5" w:rsidRPr="00C932CF" w:rsidRDefault="002C50B5" w:rsidP="004A6A51">
            <w:pPr>
              <w:spacing w:line="276" w:lineRule="auto"/>
            </w:pPr>
            <w:r w:rsidRPr="00C932CF">
              <w:t>Polineuropatias</w:t>
            </w:r>
          </w:p>
          <w:p w:rsidR="002C50B5" w:rsidRPr="00C932CF" w:rsidRDefault="002C50B5" w:rsidP="004A6A51">
            <w:pPr>
              <w:spacing w:line="276" w:lineRule="auto"/>
            </w:pPr>
            <w:r w:rsidRPr="00C932CF">
              <w:t>Síndromes cerebelares</w:t>
            </w:r>
          </w:p>
          <w:p w:rsidR="002C50B5" w:rsidRPr="00C932CF" w:rsidRDefault="002C50B5" w:rsidP="004A6A51">
            <w:pPr>
              <w:spacing w:line="276" w:lineRule="auto"/>
            </w:pPr>
            <w:r w:rsidRPr="00C932CF">
              <w:t>Neuropatía óptica</w:t>
            </w:r>
          </w:p>
          <w:p w:rsidR="002C50B5" w:rsidRPr="00C932CF" w:rsidRDefault="002C50B5" w:rsidP="004A6A51">
            <w:pPr>
              <w:spacing w:line="276" w:lineRule="auto"/>
              <w:rPr>
                <w:lang w:val="es-MX"/>
              </w:rPr>
            </w:pPr>
            <w:r w:rsidRPr="00C932CF">
              <w:t>Enfermedad cerebrovascular</w:t>
            </w:r>
          </w:p>
        </w:tc>
        <w:tc>
          <w:tcPr>
            <w:tcW w:w="4489" w:type="dxa"/>
            <w:vAlign w:val="center"/>
          </w:tcPr>
          <w:p w:rsidR="002C50B5" w:rsidRPr="00C932CF" w:rsidRDefault="002C50B5" w:rsidP="004A6A51">
            <w:pPr>
              <w:spacing w:line="276" w:lineRule="auto"/>
              <w:rPr>
                <w:lang w:val="es-MX"/>
              </w:rPr>
            </w:pPr>
            <w:r w:rsidRPr="00C932CF">
              <w:rPr>
                <w:lang w:val="es-MX"/>
              </w:rPr>
              <w:t>Mareo, sincope, caídas, fragilidad, declinación funcional, falla para prosperar</w:t>
            </w:r>
          </w:p>
        </w:tc>
      </w:tr>
      <w:tr w:rsidR="002C50B5" w:rsidRPr="00C932CF" w:rsidTr="004A6A51">
        <w:tc>
          <w:tcPr>
            <w:tcW w:w="4489" w:type="dxa"/>
            <w:vAlign w:val="center"/>
          </w:tcPr>
          <w:p w:rsidR="002C50B5" w:rsidRPr="00C932CF" w:rsidRDefault="002C50B5" w:rsidP="004A6A51">
            <w:pPr>
              <w:spacing w:line="276" w:lineRule="auto"/>
              <w:rPr>
                <w:b/>
                <w:i/>
                <w:lang w:val="es-MX"/>
              </w:rPr>
            </w:pPr>
            <w:r w:rsidRPr="00C932CF">
              <w:rPr>
                <w:b/>
                <w:i/>
                <w:lang w:val="es-MX"/>
              </w:rPr>
              <w:t>Gastrointestinal:</w:t>
            </w:r>
          </w:p>
          <w:p w:rsidR="002C50B5" w:rsidRPr="00C932CF" w:rsidRDefault="002C50B5" w:rsidP="004A6A51">
            <w:pPr>
              <w:spacing w:line="276" w:lineRule="auto"/>
              <w:rPr>
                <w:lang w:val="es-MX"/>
              </w:rPr>
            </w:pPr>
            <w:r w:rsidRPr="00C932CF">
              <w:rPr>
                <w:lang w:val="es-MX"/>
              </w:rPr>
              <w:t>Diarrea</w:t>
            </w:r>
          </w:p>
          <w:p w:rsidR="002C50B5" w:rsidRPr="00C932CF" w:rsidRDefault="002C50B5" w:rsidP="004A6A51">
            <w:pPr>
              <w:spacing w:line="276" w:lineRule="auto"/>
              <w:rPr>
                <w:lang w:val="es-MX"/>
              </w:rPr>
            </w:pPr>
            <w:r w:rsidRPr="00C932CF">
              <w:rPr>
                <w:lang w:val="es-MX"/>
              </w:rPr>
              <w:t>Pérdida de peso</w:t>
            </w:r>
          </w:p>
        </w:tc>
        <w:tc>
          <w:tcPr>
            <w:tcW w:w="4489" w:type="dxa"/>
            <w:vAlign w:val="center"/>
          </w:tcPr>
          <w:p w:rsidR="002C50B5" w:rsidRPr="00C932CF" w:rsidRDefault="002C50B5" w:rsidP="004A6A51">
            <w:pPr>
              <w:spacing w:line="276" w:lineRule="auto"/>
              <w:rPr>
                <w:lang w:val="es-MX"/>
              </w:rPr>
            </w:pPr>
            <w:r w:rsidRPr="00C932CF">
              <w:rPr>
                <w:lang w:val="es-MX"/>
              </w:rPr>
              <w:t>Anorexia del envejecimiento, caquexia, desnutrición proteico calórica, falla para prosperar</w:t>
            </w:r>
          </w:p>
        </w:tc>
      </w:tr>
      <w:tr w:rsidR="002C50B5" w:rsidRPr="00C932CF" w:rsidTr="004A6A51">
        <w:tc>
          <w:tcPr>
            <w:tcW w:w="4489" w:type="dxa"/>
            <w:vAlign w:val="center"/>
          </w:tcPr>
          <w:p w:rsidR="002C50B5" w:rsidRPr="00C932CF" w:rsidRDefault="002C50B5" w:rsidP="004A6A51">
            <w:pPr>
              <w:spacing w:line="276" w:lineRule="auto"/>
              <w:rPr>
                <w:b/>
                <w:i/>
                <w:lang w:val="es-MX"/>
              </w:rPr>
            </w:pPr>
            <w:r w:rsidRPr="00C932CF">
              <w:rPr>
                <w:b/>
                <w:i/>
                <w:lang w:val="es-MX"/>
              </w:rPr>
              <w:t>Piel y mucosas:</w:t>
            </w:r>
          </w:p>
          <w:p w:rsidR="002C50B5" w:rsidRPr="00C932CF" w:rsidRDefault="002C50B5" w:rsidP="004A6A51">
            <w:pPr>
              <w:spacing w:line="276" w:lineRule="auto"/>
              <w:rPr>
                <w:lang w:val="es-MX"/>
              </w:rPr>
            </w:pPr>
            <w:r w:rsidRPr="00C932CF">
              <w:rPr>
                <w:lang w:val="es-MX"/>
              </w:rPr>
              <w:t>Glositis de Hunter</w:t>
            </w:r>
          </w:p>
          <w:p w:rsidR="002C50B5" w:rsidRPr="00C932CF" w:rsidRDefault="002C50B5" w:rsidP="004A6A51">
            <w:pPr>
              <w:spacing w:line="276" w:lineRule="auto"/>
              <w:rPr>
                <w:lang w:val="es-MX"/>
              </w:rPr>
            </w:pPr>
            <w:r w:rsidRPr="00C932CF">
              <w:rPr>
                <w:lang w:val="es-MX"/>
              </w:rPr>
              <w:t>Úlceras mucocutáneas</w:t>
            </w:r>
          </w:p>
          <w:p w:rsidR="002C50B5" w:rsidRPr="00C932CF" w:rsidRDefault="002C50B5" w:rsidP="004A6A51">
            <w:pPr>
              <w:spacing w:line="276" w:lineRule="auto"/>
              <w:rPr>
                <w:lang w:val="es-MX"/>
              </w:rPr>
            </w:pPr>
            <w:r w:rsidRPr="00C932CF">
              <w:rPr>
                <w:lang w:val="es-MX"/>
              </w:rPr>
              <w:t>Quelitis angular</w:t>
            </w:r>
          </w:p>
        </w:tc>
        <w:tc>
          <w:tcPr>
            <w:tcW w:w="4489" w:type="dxa"/>
            <w:vAlign w:val="center"/>
          </w:tcPr>
          <w:p w:rsidR="002C50B5" w:rsidRPr="00C932CF" w:rsidRDefault="002C50B5" w:rsidP="004A6A51">
            <w:pPr>
              <w:spacing w:line="276" w:lineRule="auto"/>
              <w:rPr>
                <w:lang w:val="es-MX"/>
              </w:rPr>
            </w:pPr>
            <w:r w:rsidRPr="00C932CF">
              <w:rPr>
                <w:lang w:val="es-MX"/>
              </w:rPr>
              <w:t>Anorexia del envejecimiento, caquexia, desnutrición proteico calórica, falla para prosperar</w:t>
            </w:r>
          </w:p>
        </w:tc>
      </w:tr>
      <w:tr w:rsidR="002C50B5" w:rsidRPr="00C932CF" w:rsidTr="004A6A51">
        <w:tc>
          <w:tcPr>
            <w:tcW w:w="4489" w:type="dxa"/>
            <w:vAlign w:val="center"/>
          </w:tcPr>
          <w:p w:rsidR="002C50B5" w:rsidRPr="00C932CF" w:rsidRDefault="002C50B5" w:rsidP="004A6A51">
            <w:pPr>
              <w:spacing w:line="276" w:lineRule="auto"/>
              <w:rPr>
                <w:b/>
                <w:i/>
                <w:lang w:val="es-MX"/>
              </w:rPr>
            </w:pPr>
            <w:r w:rsidRPr="00C932CF">
              <w:rPr>
                <w:b/>
                <w:i/>
                <w:lang w:val="es-MX"/>
              </w:rPr>
              <w:t>Cardiovascular:</w:t>
            </w:r>
          </w:p>
          <w:p w:rsidR="002C50B5" w:rsidRPr="00C932CF" w:rsidRDefault="002C50B5" w:rsidP="004A6A51">
            <w:pPr>
              <w:spacing w:line="276" w:lineRule="auto"/>
              <w:rPr>
                <w:lang w:val="es-MX"/>
              </w:rPr>
            </w:pPr>
            <w:r w:rsidRPr="00C932CF">
              <w:rPr>
                <w:lang w:val="es-MX"/>
              </w:rPr>
              <w:t xml:space="preserve">Aterosclerosis </w:t>
            </w:r>
          </w:p>
          <w:p w:rsidR="002C50B5" w:rsidRPr="00C932CF" w:rsidRDefault="002C50B5" w:rsidP="004A6A51">
            <w:pPr>
              <w:spacing w:line="276" w:lineRule="auto"/>
              <w:rPr>
                <w:lang w:val="es-MX"/>
              </w:rPr>
            </w:pPr>
            <w:r w:rsidRPr="00C932CF">
              <w:rPr>
                <w:lang w:val="es-MX"/>
              </w:rPr>
              <w:t>Enfermedad coronaria (hiperhomociteinemia)</w:t>
            </w:r>
          </w:p>
          <w:p w:rsidR="002C50B5" w:rsidRPr="00C932CF" w:rsidRDefault="002C50B5" w:rsidP="004A6A51">
            <w:pPr>
              <w:spacing w:line="276" w:lineRule="auto"/>
              <w:rPr>
                <w:lang w:val="es-MX"/>
              </w:rPr>
            </w:pPr>
            <w:r w:rsidRPr="00C932CF">
              <w:rPr>
                <w:lang w:val="es-MX"/>
              </w:rPr>
              <w:t>Enfermedad tromboembólica venosa</w:t>
            </w:r>
          </w:p>
        </w:tc>
        <w:tc>
          <w:tcPr>
            <w:tcW w:w="4489" w:type="dxa"/>
            <w:vAlign w:val="center"/>
          </w:tcPr>
          <w:p w:rsidR="002C50B5" w:rsidRPr="00C932CF" w:rsidRDefault="002C50B5" w:rsidP="004A6A51">
            <w:pPr>
              <w:spacing w:line="276" w:lineRule="auto"/>
              <w:rPr>
                <w:lang w:val="es-MX"/>
              </w:rPr>
            </w:pPr>
            <w:r w:rsidRPr="00C932CF">
              <w:rPr>
                <w:lang w:val="es-MX"/>
              </w:rPr>
              <w:t>Mareo, sincope, caídas</w:t>
            </w:r>
          </w:p>
        </w:tc>
      </w:tr>
      <w:tr w:rsidR="002C50B5" w:rsidRPr="00C932CF" w:rsidTr="004A6A51">
        <w:tc>
          <w:tcPr>
            <w:tcW w:w="4489" w:type="dxa"/>
            <w:vAlign w:val="center"/>
          </w:tcPr>
          <w:p w:rsidR="002C50B5" w:rsidRPr="00C932CF" w:rsidRDefault="002C50B5" w:rsidP="004A6A51">
            <w:pPr>
              <w:spacing w:line="276" w:lineRule="auto"/>
              <w:rPr>
                <w:b/>
                <w:i/>
                <w:lang w:val="es-MX"/>
              </w:rPr>
            </w:pPr>
            <w:r w:rsidRPr="00C932CF">
              <w:rPr>
                <w:b/>
                <w:i/>
                <w:lang w:val="es-MX"/>
              </w:rPr>
              <w:t>Psiquiátrico:</w:t>
            </w:r>
          </w:p>
          <w:p w:rsidR="002C50B5" w:rsidRPr="00C932CF" w:rsidRDefault="002C50B5" w:rsidP="004A6A51">
            <w:pPr>
              <w:spacing w:line="276" w:lineRule="auto"/>
            </w:pPr>
            <w:r w:rsidRPr="00C932CF">
              <w:t>Demencia</w:t>
            </w:r>
          </w:p>
        </w:tc>
        <w:tc>
          <w:tcPr>
            <w:tcW w:w="4489" w:type="dxa"/>
            <w:vAlign w:val="center"/>
          </w:tcPr>
          <w:p w:rsidR="002C50B5" w:rsidRPr="00C932CF" w:rsidRDefault="002C50B5" w:rsidP="004A6A51">
            <w:pPr>
              <w:spacing w:line="276" w:lineRule="auto"/>
              <w:rPr>
                <w:lang w:val="es-MX"/>
              </w:rPr>
            </w:pPr>
            <w:r w:rsidRPr="00C932CF">
              <w:rPr>
                <w:lang w:val="es-MX"/>
              </w:rPr>
              <w:t>Deterioro cognoscitivo, caídas, fragilidad</w:t>
            </w:r>
          </w:p>
        </w:tc>
      </w:tr>
    </w:tbl>
    <w:p w:rsidR="002C50B5" w:rsidRPr="00173C8E" w:rsidRDefault="002C50B5" w:rsidP="002C50B5">
      <w:pPr>
        <w:autoSpaceDE w:val="0"/>
        <w:autoSpaceDN w:val="0"/>
        <w:adjustRightInd w:val="0"/>
        <w:spacing w:line="360" w:lineRule="auto"/>
        <w:rPr>
          <w:lang w:val="fr-FR"/>
        </w:rPr>
      </w:pPr>
    </w:p>
    <w:p w:rsidR="00C66C2C" w:rsidRDefault="00C66C2C"/>
    <w:sectPr w:rsidR="00C66C2C" w:rsidSect="00E77E96">
      <w:headerReference w:type="default" r:id="rId40"/>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badi MT Condensed Light">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02" w:rsidRDefault="002C50B5">
    <w:pPr>
      <w:pStyle w:val="Encabezado"/>
      <w:jc w:val="right"/>
    </w:pPr>
    <w:r>
      <w:fldChar w:fldCharType="begin"/>
    </w:r>
    <w:r>
      <w:instrText xml:space="preserve"> PAGE   \* MERGEFORMAT </w:instrText>
    </w:r>
    <w:r>
      <w:fldChar w:fldCharType="separate"/>
    </w:r>
    <w:r>
      <w:rPr>
        <w:noProof/>
      </w:rPr>
      <w:t>3</w:t>
    </w:r>
    <w:r>
      <w:fldChar w:fldCharType="end"/>
    </w:r>
  </w:p>
  <w:p w:rsidR="00084202" w:rsidRDefault="002C50B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17D3"/>
    <w:multiLevelType w:val="hybridMultilevel"/>
    <w:tmpl w:val="5EA20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284131"/>
    <w:multiLevelType w:val="hybridMultilevel"/>
    <w:tmpl w:val="F5B25734"/>
    <w:lvl w:ilvl="0" w:tplc="D49E49E2">
      <w:start w:val="1"/>
      <w:numFmt w:val="decimal"/>
      <w:lvlText w:val="%1."/>
      <w:lvlJc w:val="left"/>
      <w:pPr>
        <w:tabs>
          <w:tab w:val="num" w:pos="1070"/>
        </w:tabs>
        <w:ind w:left="1070" w:hanging="360"/>
      </w:pPr>
      <w:rPr>
        <w:rFonts w:ascii="Times New Roman" w:hAnsi="Times New Roman" w:cs="Times New Roman" w:hint="default"/>
        <w:color w:val="auto"/>
        <w:sz w:val="24"/>
        <w:szCs w:val="24"/>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29490A87"/>
    <w:multiLevelType w:val="hybridMultilevel"/>
    <w:tmpl w:val="0CC89C74"/>
    <w:lvl w:ilvl="0" w:tplc="080A000F">
      <w:start w:val="1"/>
      <w:numFmt w:val="decimal"/>
      <w:lvlText w:val="%1."/>
      <w:lvlJc w:val="left"/>
      <w:pPr>
        <w:tabs>
          <w:tab w:val="num" w:pos="360"/>
        </w:tabs>
        <w:ind w:left="36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3D6B6672"/>
    <w:multiLevelType w:val="hybridMultilevel"/>
    <w:tmpl w:val="EB1E68D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76DE04EE"/>
    <w:multiLevelType w:val="hybridMultilevel"/>
    <w:tmpl w:val="0AA85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BBA52F3"/>
    <w:multiLevelType w:val="hybridMultilevel"/>
    <w:tmpl w:val="2430C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2C50B5"/>
    <w:rsid w:val="002C50B5"/>
    <w:rsid w:val="00C66C2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0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C50B5"/>
    <w:pPr>
      <w:keepNext/>
      <w:outlineLvl w:val="0"/>
    </w:pPr>
    <w:rPr>
      <w:rFonts w:ascii="Arial" w:eastAsia="Arial Unicode MS" w:hAnsi="Arial" w:cs="Arial"/>
      <w:b/>
      <w:bCs/>
      <w:sz w:val="22"/>
      <w:lang w:val="es-CO"/>
    </w:rPr>
  </w:style>
  <w:style w:type="paragraph" w:styleId="Ttulo2">
    <w:name w:val="heading 2"/>
    <w:basedOn w:val="Normal"/>
    <w:next w:val="Normal"/>
    <w:link w:val="Ttulo2Car"/>
    <w:qFormat/>
    <w:rsid w:val="002C50B5"/>
    <w:pPr>
      <w:keepNext/>
      <w:spacing w:line="480" w:lineRule="auto"/>
      <w:jc w:val="center"/>
      <w:outlineLvl w:val="1"/>
    </w:pPr>
    <w:rPr>
      <w:rFonts w:ascii="Verdana" w:hAnsi="Verdana"/>
      <w:b/>
      <w:bCs/>
      <w:sz w:val="28"/>
    </w:rPr>
  </w:style>
  <w:style w:type="paragraph" w:styleId="Ttulo3">
    <w:name w:val="heading 3"/>
    <w:basedOn w:val="Normal"/>
    <w:next w:val="Normal"/>
    <w:link w:val="Ttulo3Car"/>
    <w:qFormat/>
    <w:rsid w:val="002C50B5"/>
    <w:pPr>
      <w:keepNext/>
      <w:spacing w:line="480" w:lineRule="auto"/>
      <w:jc w:val="both"/>
      <w:outlineLvl w:val="2"/>
    </w:pPr>
    <w:rPr>
      <w:rFonts w:ascii="Verdana" w:hAnsi="Verdana"/>
      <w:b/>
      <w:bCs/>
      <w:sz w:val="28"/>
      <w:szCs w:val="20"/>
    </w:rPr>
  </w:style>
  <w:style w:type="paragraph" w:styleId="Ttulo4">
    <w:name w:val="heading 4"/>
    <w:basedOn w:val="Normal"/>
    <w:next w:val="Normal"/>
    <w:link w:val="Ttulo4Car"/>
    <w:qFormat/>
    <w:rsid w:val="002C50B5"/>
    <w:pPr>
      <w:keepNext/>
      <w:jc w:val="both"/>
      <w:outlineLvl w:val="3"/>
    </w:pPr>
    <w:rPr>
      <w:rFonts w:ascii="Arial" w:eastAsia="Arial Unicode MS" w:hAnsi="Arial"/>
      <w:b/>
      <w:sz w:val="20"/>
      <w:szCs w:val="20"/>
    </w:rPr>
  </w:style>
  <w:style w:type="paragraph" w:styleId="Ttulo5">
    <w:name w:val="heading 5"/>
    <w:basedOn w:val="Normal"/>
    <w:next w:val="Normal"/>
    <w:link w:val="Ttulo5Car"/>
    <w:qFormat/>
    <w:rsid w:val="002C50B5"/>
    <w:pPr>
      <w:keepNext/>
      <w:jc w:val="both"/>
      <w:outlineLvl w:val="4"/>
    </w:pPr>
    <w:rPr>
      <w:rFonts w:ascii="Arial" w:eastAsia="Arial Unicode MS" w:hAnsi="Arial" w:cs="Arial"/>
      <w:b/>
      <w:bCs/>
      <w:sz w:val="22"/>
    </w:rPr>
  </w:style>
  <w:style w:type="paragraph" w:styleId="Ttulo6">
    <w:name w:val="heading 6"/>
    <w:basedOn w:val="Normal"/>
    <w:next w:val="Normal"/>
    <w:link w:val="Ttulo6Car"/>
    <w:qFormat/>
    <w:rsid w:val="002C50B5"/>
    <w:pPr>
      <w:keepNext/>
      <w:jc w:val="both"/>
      <w:outlineLvl w:val="5"/>
    </w:pPr>
    <w:rPr>
      <w:rFonts w:ascii="Abadi MT Condensed Light" w:eastAsia="Arial Unicode MS" w:hAnsi="Abadi MT Condensed Light" w:cs="Arial"/>
      <w:b/>
      <w:bCs/>
    </w:rPr>
  </w:style>
  <w:style w:type="paragraph" w:styleId="Ttulo7">
    <w:name w:val="heading 7"/>
    <w:basedOn w:val="Normal"/>
    <w:next w:val="Normal"/>
    <w:link w:val="Ttulo7Car"/>
    <w:qFormat/>
    <w:rsid w:val="002C50B5"/>
    <w:pPr>
      <w:keepNext/>
      <w:spacing w:line="480" w:lineRule="auto"/>
      <w:outlineLvl w:val="6"/>
    </w:pPr>
    <w:rPr>
      <w:rFonts w:ascii="Verdana" w:hAnsi="Verdan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50B5"/>
    <w:rPr>
      <w:rFonts w:ascii="Arial" w:eastAsia="Arial Unicode MS" w:hAnsi="Arial" w:cs="Arial"/>
      <w:b/>
      <w:bCs/>
      <w:szCs w:val="24"/>
      <w:lang w:eastAsia="es-ES"/>
    </w:rPr>
  </w:style>
  <w:style w:type="character" w:customStyle="1" w:styleId="Ttulo2Car">
    <w:name w:val="Título 2 Car"/>
    <w:basedOn w:val="Fuentedeprrafopredeter"/>
    <w:link w:val="Ttulo2"/>
    <w:rsid w:val="002C50B5"/>
    <w:rPr>
      <w:rFonts w:ascii="Verdana" w:eastAsia="Times New Roman" w:hAnsi="Verdana" w:cs="Times New Roman"/>
      <w:b/>
      <w:bCs/>
      <w:sz w:val="28"/>
      <w:szCs w:val="24"/>
      <w:lang w:val="es-ES" w:eastAsia="es-ES"/>
    </w:rPr>
  </w:style>
  <w:style w:type="character" w:customStyle="1" w:styleId="Ttulo3Car">
    <w:name w:val="Título 3 Car"/>
    <w:basedOn w:val="Fuentedeprrafopredeter"/>
    <w:link w:val="Ttulo3"/>
    <w:rsid w:val="002C50B5"/>
    <w:rPr>
      <w:rFonts w:ascii="Verdana" w:eastAsia="Times New Roman" w:hAnsi="Verdana" w:cs="Times New Roman"/>
      <w:b/>
      <w:bCs/>
      <w:sz w:val="28"/>
      <w:szCs w:val="20"/>
      <w:lang w:val="es-ES" w:eastAsia="es-ES"/>
    </w:rPr>
  </w:style>
  <w:style w:type="character" w:customStyle="1" w:styleId="Ttulo4Car">
    <w:name w:val="Título 4 Car"/>
    <w:basedOn w:val="Fuentedeprrafopredeter"/>
    <w:link w:val="Ttulo4"/>
    <w:rsid w:val="002C50B5"/>
    <w:rPr>
      <w:rFonts w:ascii="Arial" w:eastAsia="Arial Unicode MS" w:hAnsi="Arial" w:cs="Times New Roman"/>
      <w:b/>
      <w:sz w:val="20"/>
      <w:szCs w:val="20"/>
      <w:lang w:val="es-ES" w:eastAsia="es-ES"/>
    </w:rPr>
  </w:style>
  <w:style w:type="character" w:customStyle="1" w:styleId="Ttulo5Car">
    <w:name w:val="Título 5 Car"/>
    <w:basedOn w:val="Fuentedeprrafopredeter"/>
    <w:link w:val="Ttulo5"/>
    <w:rsid w:val="002C50B5"/>
    <w:rPr>
      <w:rFonts w:ascii="Arial" w:eastAsia="Arial Unicode MS" w:hAnsi="Arial" w:cs="Arial"/>
      <w:b/>
      <w:bCs/>
      <w:szCs w:val="24"/>
      <w:lang w:val="es-ES" w:eastAsia="es-ES"/>
    </w:rPr>
  </w:style>
  <w:style w:type="character" w:customStyle="1" w:styleId="Ttulo6Car">
    <w:name w:val="Título 6 Car"/>
    <w:basedOn w:val="Fuentedeprrafopredeter"/>
    <w:link w:val="Ttulo6"/>
    <w:rsid w:val="002C50B5"/>
    <w:rPr>
      <w:rFonts w:ascii="Abadi MT Condensed Light" w:eastAsia="Arial Unicode MS" w:hAnsi="Abadi MT Condensed Light" w:cs="Arial"/>
      <w:b/>
      <w:bCs/>
      <w:sz w:val="24"/>
      <w:szCs w:val="24"/>
      <w:lang w:val="es-ES" w:eastAsia="es-ES"/>
    </w:rPr>
  </w:style>
  <w:style w:type="character" w:customStyle="1" w:styleId="Ttulo7Car">
    <w:name w:val="Título 7 Car"/>
    <w:basedOn w:val="Fuentedeprrafopredeter"/>
    <w:link w:val="Ttulo7"/>
    <w:rsid w:val="002C50B5"/>
    <w:rPr>
      <w:rFonts w:ascii="Verdana" w:eastAsia="Times New Roman" w:hAnsi="Verdana" w:cs="Times New Roman"/>
      <w:b/>
      <w:bCs/>
      <w:sz w:val="24"/>
      <w:szCs w:val="24"/>
      <w:lang w:val="es-ES" w:eastAsia="es-ES"/>
    </w:rPr>
  </w:style>
  <w:style w:type="paragraph" w:styleId="Textoindependiente3">
    <w:name w:val="Body Text 3"/>
    <w:basedOn w:val="Normal"/>
    <w:link w:val="Textoindependiente3Car"/>
    <w:semiHidden/>
    <w:rsid w:val="002C50B5"/>
    <w:pPr>
      <w:jc w:val="both"/>
    </w:pPr>
    <w:rPr>
      <w:rFonts w:ascii="Arial" w:hAnsi="Arial"/>
      <w:b/>
      <w:sz w:val="22"/>
      <w:szCs w:val="20"/>
    </w:rPr>
  </w:style>
  <w:style w:type="character" w:customStyle="1" w:styleId="Textoindependiente3Car">
    <w:name w:val="Texto independiente 3 Car"/>
    <w:basedOn w:val="Fuentedeprrafopredeter"/>
    <w:link w:val="Textoindependiente3"/>
    <w:semiHidden/>
    <w:rsid w:val="002C50B5"/>
    <w:rPr>
      <w:rFonts w:ascii="Arial" w:eastAsia="Times New Roman" w:hAnsi="Arial" w:cs="Times New Roman"/>
      <w:b/>
      <w:szCs w:val="20"/>
      <w:lang w:val="es-ES" w:eastAsia="es-ES"/>
    </w:rPr>
  </w:style>
  <w:style w:type="paragraph" w:styleId="Textoindependiente">
    <w:name w:val="Body Text"/>
    <w:basedOn w:val="Normal"/>
    <w:link w:val="TextoindependienteCar"/>
    <w:semiHidden/>
    <w:rsid w:val="002C50B5"/>
    <w:pPr>
      <w:spacing w:line="480" w:lineRule="auto"/>
      <w:jc w:val="both"/>
    </w:pPr>
    <w:rPr>
      <w:rFonts w:ascii="Verdana" w:hAnsi="Verdana"/>
    </w:rPr>
  </w:style>
  <w:style w:type="character" w:customStyle="1" w:styleId="TextoindependienteCar">
    <w:name w:val="Texto independiente Car"/>
    <w:basedOn w:val="Fuentedeprrafopredeter"/>
    <w:link w:val="Textoindependiente"/>
    <w:semiHidden/>
    <w:rsid w:val="002C50B5"/>
    <w:rPr>
      <w:rFonts w:ascii="Verdana" w:eastAsia="Times New Roman" w:hAnsi="Verdana" w:cs="Times New Roman"/>
      <w:sz w:val="24"/>
      <w:szCs w:val="24"/>
      <w:lang w:val="es-ES" w:eastAsia="es-ES"/>
    </w:rPr>
  </w:style>
  <w:style w:type="paragraph" w:customStyle="1" w:styleId="Default">
    <w:name w:val="Default"/>
    <w:rsid w:val="002C50B5"/>
    <w:pPr>
      <w:autoSpaceDE w:val="0"/>
      <w:autoSpaceDN w:val="0"/>
      <w:adjustRightInd w:val="0"/>
      <w:spacing w:after="0" w:line="240" w:lineRule="auto"/>
    </w:pPr>
    <w:rPr>
      <w:rFonts w:ascii="Verdana" w:eastAsia="Times New Roman" w:hAnsi="Verdana" w:cs="Times New Roman"/>
      <w:sz w:val="20"/>
      <w:szCs w:val="20"/>
      <w:lang w:val="es-ES" w:eastAsia="es-ES"/>
    </w:rPr>
  </w:style>
  <w:style w:type="paragraph" w:styleId="Textoindependiente2">
    <w:name w:val="Body Text 2"/>
    <w:basedOn w:val="Normal"/>
    <w:link w:val="Textoindependiente2Car"/>
    <w:rsid w:val="002C50B5"/>
    <w:rPr>
      <w:rFonts w:ascii="Arial" w:hAnsi="Arial"/>
      <w:sz w:val="20"/>
    </w:rPr>
  </w:style>
  <w:style w:type="character" w:customStyle="1" w:styleId="Textoindependiente2Car">
    <w:name w:val="Texto independiente 2 Car"/>
    <w:basedOn w:val="Fuentedeprrafopredeter"/>
    <w:link w:val="Textoindependiente2"/>
    <w:rsid w:val="002C50B5"/>
    <w:rPr>
      <w:rFonts w:ascii="Arial" w:eastAsia="Times New Roman" w:hAnsi="Arial" w:cs="Times New Roman"/>
      <w:sz w:val="20"/>
      <w:szCs w:val="24"/>
      <w:lang w:val="es-ES" w:eastAsia="es-ES"/>
    </w:rPr>
  </w:style>
  <w:style w:type="character" w:styleId="Hipervnculo">
    <w:name w:val="Hyperlink"/>
    <w:basedOn w:val="Fuentedeprrafopredeter"/>
    <w:semiHidden/>
    <w:rsid w:val="002C50B5"/>
    <w:rPr>
      <w:color w:val="0033CC"/>
      <w:u w:val="single"/>
    </w:rPr>
  </w:style>
  <w:style w:type="paragraph" w:styleId="Ttulo">
    <w:name w:val="Title"/>
    <w:basedOn w:val="Normal"/>
    <w:link w:val="TtuloCar"/>
    <w:qFormat/>
    <w:rsid w:val="002C50B5"/>
    <w:pPr>
      <w:jc w:val="center"/>
    </w:pPr>
    <w:rPr>
      <w:rFonts w:ascii="Arial" w:hAnsi="Arial"/>
      <w:b/>
      <w:bCs/>
    </w:rPr>
  </w:style>
  <w:style w:type="character" w:customStyle="1" w:styleId="TtuloCar">
    <w:name w:val="Título Car"/>
    <w:basedOn w:val="Fuentedeprrafopredeter"/>
    <w:link w:val="Ttulo"/>
    <w:rsid w:val="002C50B5"/>
    <w:rPr>
      <w:rFonts w:ascii="Arial" w:eastAsia="Times New Roman" w:hAnsi="Arial" w:cs="Times New Roman"/>
      <w:b/>
      <w:bCs/>
      <w:sz w:val="24"/>
      <w:szCs w:val="24"/>
      <w:lang w:val="es-ES" w:eastAsia="es-ES"/>
    </w:rPr>
  </w:style>
  <w:style w:type="character" w:styleId="Textoennegrita">
    <w:name w:val="Strong"/>
    <w:basedOn w:val="Fuentedeprrafopredeter"/>
    <w:uiPriority w:val="22"/>
    <w:qFormat/>
    <w:rsid w:val="002C50B5"/>
    <w:rPr>
      <w:b/>
      <w:bCs/>
    </w:rPr>
  </w:style>
  <w:style w:type="paragraph" w:styleId="Encabezado">
    <w:name w:val="header"/>
    <w:basedOn w:val="Normal"/>
    <w:link w:val="EncabezadoCar"/>
    <w:uiPriority w:val="99"/>
    <w:unhideWhenUsed/>
    <w:rsid w:val="002C50B5"/>
    <w:pPr>
      <w:tabs>
        <w:tab w:val="center" w:pos="4419"/>
        <w:tab w:val="right" w:pos="8838"/>
      </w:tabs>
    </w:pPr>
  </w:style>
  <w:style w:type="character" w:customStyle="1" w:styleId="EncabezadoCar">
    <w:name w:val="Encabezado Car"/>
    <w:basedOn w:val="Fuentedeprrafopredeter"/>
    <w:link w:val="Encabezado"/>
    <w:uiPriority w:val="99"/>
    <w:rsid w:val="002C50B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2C50B5"/>
    <w:pPr>
      <w:tabs>
        <w:tab w:val="center" w:pos="4419"/>
        <w:tab w:val="right" w:pos="8838"/>
      </w:tabs>
    </w:pPr>
  </w:style>
  <w:style w:type="character" w:customStyle="1" w:styleId="PiedepginaCar">
    <w:name w:val="Pie de página Car"/>
    <w:basedOn w:val="Fuentedeprrafopredeter"/>
    <w:link w:val="Piedepgina"/>
    <w:uiPriority w:val="99"/>
    <w:semiHidden/>
    <w:rsid w:val="002C50B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C50B5"/>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0B5"/>
    <w:rPr>
      <w:rFonts w:ascii="Tahoma" w:eastAsia="Times New Roman" w:hAnsi="Tahoma" w:cs="Tahoma"/>
      <w:sz w:val="16"/>
      <w:szCs w:val="16"/>
      <w:lang w:val="es-ES" w:eastAsia="es-ES"/>
    </w:rPr>
  </w:style>
  <w:style w:type="paragraph" w:styleId="Textosinformato">
    <w:name w:val="Plain Text"/>
    <w:basedOn w:val="Normal"/>
    <w:link w:val="TextosinformatoCar"/>
    <w:rsid w:val="002C50B5"/>
    <w:rPr>
      <w:rFonts w:ascii="Courier New" w:hAnsi="Courier New"/>
      <w:sz w:val="20"/>
      <w:szCs w:val="20"/>
    </w:rPr>
  </w:style>
  <w:style w:type="character" w:customStyle="1" w:styleId="TextosinformatoCar">
    <w:name w:val="Texto sin formato Car"/>
    <w:basedOn w:val="Fuentedeprrafopredeter"/>
    <w:link w:val="Textosinformato"/>
    <w:rsid w:val="002C50B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2C50B5"/>
    <w:pPr>
      <w:spacing w:after="0" w:line="240" w:lineRule="auto"/>
    </w:pPr>
    <w:rPr>
      <w:rFonts w:ascii="Times New Roman" w:eastAsia="Times New Roman" w:hAnsi="Times New Roman"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Andr%C3%A8s%20E%22%5BAuthor%5D" TargetMode="External"/><Relationship Id="rId13" Type="http://schemas.openxmlformats.org/officeDocument/2006/relationships/hyperlink" Target="http://www.ncbi.nlm.nih.gov/pubmed?term=%22Zimmer%20J%22%5BAuthor%5D" TargetMode="External"/><Relationship Id="rId18" Type="http://schemas.openxmlformats.org/officeDocument/2006/relationships/hyperlink" Target="http://www.ncbi.nlm.nih.gov/pubmed?term=%22Norkus%20EP%22%5BAuthor%5D" TargetMode="External"/><Relationship Id="rId26" Type="http://schemas.openxmlformats.org/officeDocument/2006/relationships/hyperlink" Target="http://www.ncbi.nlm.nih.gov/pubmed?term=%22Andr%C3%A8s%20E%22%5BAuthor%5D" TargetMode="External"/><Relationship Id="rId39"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javascript:AL_get(this,%20'jour',%20'Curr%20Opin%20Clin%20Nutr%20Metab%20Care.');" TargetMode="External"/><Relationship Id="rId34" Type="http://schemas.openxmlformats.org/officeDocument/2006/relationships/hyperlink" Target="javascript:AL_get(this,%20'jour',%20'Lancet%20Neurol.');" TargetMode="External"/><Relationship Id="rId42" Type="http://schemas.openxmlformats.org/officeDocument/2006/relationships/theme" Target="theme/theme1.xml"/><Relationship Id="rId7" Type="http://schemas.openxmlformats.org/officeDocument/2006/relationships/hyperlink" Target="http://www.ncbi.nlm.nih.gov/pubmed?term=%22Dali-Youcef%20N%22%5BAuthor%5D" TargetMode="External"/><Relationship Id="rId12" Type="http://schemas.openxmlformats.org/officeDocument/2006/relationships/hyperlink" Target="http://www.ncbi.nlm.nih.gov/pubmed?term=%22Federici%20L%22%5BAuthor%5D" TargetMode="External"/><Relationship Id="rId17" Type="http://schemas.openxmlformats.org/officeDocument/2006/relationships/hyperlink" Target="http://www.ncbi.nlm.nih.gov/pubmed?term=%22Adiga%20GU%22%5BAuthor%5D" TargetMode="External"/><Relationship Id="rId25" Type="http://schemas.openxmlformats.org/officeDocument/2006/relationships/hyperlink" Target="javascript:AL_get(this,%20'jour',%20'Prev%20Med.');" TargetMode="External"/><Relationship Id="rId33" Type="http://schemas.openxmlformats.org/officeDocument/2006/relationships/hyperlink" Target="http://www.ncbi.nlm.nih.gov/pubmed?term=%22Reynolds%20E%22%5BAuthor%5D" TargetMode="External"/><Relationship Id="rId38"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ncbi.nlm.nih.gov/pubmed?term=%22Dharmarajan%20TS%22%5BAuthor%5D" TargetMode="External"/><Relationship Id="rId20" Type="http://schemas.openxmlformats.org/officeDocument/2006/relationships/hyperlink" Target="http://www.ncbi.nlm.nih.gov/pubmed?term=%22Stover%20PJ%22%5BAuthor%5D" TargetMode="External"/><Relationship Id="rId29" Type="http://schemas.openxmlformats.org/officeDocument/2006/relationships/hyperlink" Target="http://www.ncbi.nlm.nih.gov/pubmed?term=%22Loukili%20NH%22%5BAuthor%5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mocampo2000@yahoo.com.ar" TargetMode="External"/><Relationship Id="rId11" Type="http://schemas.openxmlformats.org/officeDocument/2006/relationships/hyperlink" Target="http://www.ncbi.nlm.nih.gov/pubmed?term=%22Vogel%20T%22%5BAuthor%5D" TargetMode="External"/><Relationship Id="rId24" Type="http://schemas.openxmlformats.org/officeDocument/2006/relationships/hyperlink" Target="http://www.ncbi.nlm.nih.gov/pubmed?term=%22Hahn%20A%22%5BAuthor%5D" TargetMode="External"/><Relationship Id="rId32" Type="http://schemas.openxmlformats.org/officeDocument/2006/relationships/hyperlink" Target="javascript:AL_get(this,%20'jour',%20'Eur%20J%20Intern%20Med.');" TargetMode="External"/><Relationship Id="rId37" Type="http://schemas.openxmlformats.org/officeDocument/2006/relationships/image" Target="media/image3.jpeg"/><Relationship Id="rId40" Type="http://schemas.openxmlformats.org/officeDocument/2006/relationships/header" Target="header1.xml"/><Relationship Id="rId5" Type="http://schemas.openxmlformats.org/officeDocument/2006/relationships/hyperlink" Target="mailto:jmocampo2000@yahoo.com.ar" TargetMode="External"/><Relationship Id="rId15" Type="http://schemas.openxmlformats.org/officeDocument/2006/relationships/hyperlink" Target="javascript:AL_get(this,%20'jour',%20'Drugs%20Aging.');" TargetMode="External"/><Relationship Id="rId23" Type="http://schemas.openxmlformats.org/officeDocument/2006/relationships/hyperlink" Target="http://www.ncbi.nlm.nih.gov/pubmed?term=%22Str%C3%B6hle%20A%22%5BAuthor%5D" TargetMode="External"/><Relationship Id="rId28" Type="http://schemas.openxmlformats.org/officeDocument/2006/relationships/hyperlink" Target="http://www.ncbi.nlm.nih.gov/pubmed?term=%22Federici%20L%22%5BAuthor%5D" TargetMode="External"/><Relationship Id="rId36" Type="http://schemas.openxmlformats.org/officeDocument/2006/relationships/image" Target="media/image2.jpeg"/><Relationship Id="rId10" Type="http://schemas.openxmlformats.org/officeDocument/2006/relationships/hyperlink" Target="http://www.ncbi.nlm.nih.gov/pubmed?term=%22Andr%C3%A8s%20E%22%5BAuthor%5D" TargetMode="External"/><Relationship Id="rId19" Type="http://schemas.openxmlformats.org/officeDocument/2006/relationships/hyperlink" Target="javascript:AL_get(this,%20'jour',%20'Geriatrics.');" TargetMode="External"/><Relationship Id="rId31" Type="http://schemas.openxmlformats.org/officeDocument/2006/relationships/hyperlink" Target="http://www.ncbi.nlm.nih.gov/pubmed?term=%22Kaltenbach%20G%22%5BAuthor%5D" TargetMode="External"/><Relationship Id="rId4" Type="http://schemas.openxmlformats.org/officeDocument/2006/relationships/webSettings" Target="webSettings.xml"/><Relationship Id="rId9" Type="http://schemas.openxmlformats.org/officeDocument/2006/relationships/hyperlink" Target="javascript:AL_get(this,%20'jour',%20'QJM.');" TargetMode="External"/><Relationship Id="rId14" Type="http://schemas.openxmlformats.org/officeDocument/2006/relationships/hyperlink" Target="http://www.ncbi.nlm.nih.gov/pubmed?term=%22Kaltenbach%20G%22%5BAuthor%5D" TargetMode="External"/><Relationship Id="rId22" Type="http://schemas.openxmlformats.org/officeDocument/2006/relationships/hyperlink" Target="http://www.ncbi.nlm.nih.gov/pubmed?term=%22Wolters%20M%22%5BAuthor%5D" TargetMode="External"/><Relationship Id="rId27" Type="http://schemas.openxmlformats.org/officeDocument/2006/relationships/hyperlink" Target="http://www.ncbi.nlm.nih.gov/pubmed?term=%22Vidal-Alaball%20J%22%5BAuthor%5D" TargetMode="External"/><Relationship Id="rId30" Type="http://schemas.openxmlformats.org/officeDocument/2006/relationships/hyperlink" Target="http://www.ncbi.nlm.nih.gov/pubmed?term=%22Zimmer%20J%22%5BAuthor%5D" TargetMode="External"/><Relationship Id="rId35"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3677</Words>
  <Characters>20225</Characters>
  <Application>Microsoft Office Word</Application>
  <DocSecurity>0</DocSecurity>
  <Lines>168</Lines>
  <Paragraphs>47</Paragraphs>
  <ScaleCrop>false</ScaleCrop>
  <Company/>
  <LinksUpToDate>false</LinksUpToDate>
  <CharactersWithSpaces>23855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DILIA</dc:creator>
  <cp:lastModifiedBy>DILIA</cp:lastModifiedBy>
  <cp:revision>1</cp:revision>
  <dcterms:created xsi:type="dcterms:W3CDTF">2011-07-02T20:46:00Z</dcterms:created>
  <dcterms:modified xsi:type="dcterms:W3CDTF">2011-07-02T20:47:00Z</dcterms:modified>
</cp:coreProperties>
</file>