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8" w:rsidRPr="00173C8E" w:rsidRDefault="00106B38" w:rsidP="00106B38">
      <w:pPr>
        <w:pStyle w:val="Ttulo6"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REPORTE</w:t>
      </w:r>
      <w:r w:rsidRPr="00173C8E">
        <w:rPr>
          <w:rFonts w:ascii="Times New Roman" w:hAnsi="Times New Roman" w:cs="Times New Roman"/>
          <w:bCs w:val="0"/>
        </w:rPr>
        <w:t xml:space="preserve"> DEL </w:t>
      </w:r>
      <w:r>
        <w:rPr>
          <w:rFonts w:ascii="Times New Roman" w:hAnsi="Times New Roman" w:cs="Times New Roman"/>
          <w:bCs w:val="0"/>
        </w:rPr>
        <w:t>CASO</w:t>
      </w:r>
    </w:p>
    <w:p w:rsidR="00106B38" w:rsidRPr="00173C8E" w:rsidRDefault="00106B38" w:rsidP="00106B38">
      <w:pPr>
        <w:spacing w:line="360" w:lineRule="auto"/>
        <w:jc w:val="both"/>
      </w:pPr>
    </w:p>
    <w:p w:rsidR="00106B38" w:rsidRDefault="00106B38" w:rsidP="00106B38">
      <w:pPr>
        <w:spacing w:line="360" w:lineRule="auto"/>
        <w:ind w:firstLine="284"/>
        <w:jc w:val="both"/>
      </w:pPr>
      <w:r w:rsidRPr="00173C8E">
        <w:t xml:space="preserve">Mujer de </w:t>
      </w:r>
      <w:r>
        <w:t>71</w:t>
      </w:r>
      <w:r w:rsidRPr="00173C8E">
        <w:t xml:space="preserve"> años</w:t>
      </w:r>
      <w:r>
        <w:t xml:space="preserve"> ingresada a hospitalización por anemia, incoordinación motora, trastorno de la marcha, debilidad y declinación de su estado funcional. Se encontraba asintomática 8 </w:t>
      </w:r>
      <w:r w:rsidRPr="004B67F8">
        <w:t>meses atrás del día que fue hospitalizada, cuando presenta</w:t>
      </w:r>
      <w:r>
        <w:t xml:space="preserve"> astenia, adinamia, </w:t>
      </w:r>
      <w:proofErr w:type="spellStart"/>
      <w:r>
        <w:t>hiporexia</w:t>
      </w:r>
      <w:proofErr w:type="spellEnd"/>
      <w:r>
        <w:t>, síntomas de mareo y vértigo</w:t>
      </w:r>
      <w:r w:rsidRPr="00173C8E">
        <w:t xml:space="preserve">. </w:t>
      </w:r>
      <w:r>
        <w:t xml:space="preserve">Seis meses antes del </w:t>
      </w:r>
      <w:r w:rsidRPr="004B67F8">
        <w:t>ingreso los síntomas</w:t>
      </w:r>
      <w:r>
        <w:t xml:space="preserve"> se </w:t>
      </w:r>
      <w:r w:rsidRPr="004B67F8">
        <w:t>incrementan</w:t>
      </w:r>
      <w:r>
        <w:t>,</w:t>
      </w:r>
      <w:r w:rsidRPr="004B67F8">
        <w:t xml:space="preserve"> con aparición de</w:t>
      </w:r>
      <w:r>
        <w:t xml:space="preserve"> pérdida del </w:t>
      </w:r>
      <w:r w:rsidRPr="004B67F8">
        <w:t>equilibrio e</w:t>
      </w:r>
      <w:r>
        <w:rPr>
          <w:b/>
          <w:color w:val="FF5050"/>
        </w:rPr>
        <w:t xml:space="preserve"> </w:t>
      </w:r>
      <w:r>
        <w:t xml:space="preserve">inestabilidad postural. Desarrolla también deterioro para la marcha, con caídas a repetición, lo cual la llevó a no volver a caminar por miedo a caer, haciendo que sus actividades de la vida diaria </w:t>
      </w:r>
      <w:r w:rsidRPr="0050179B">
        <w:t>en el aspecto físico</w:t>
      </w:r>
      <w:r>
        <w:t xml:space="preserve"> se limitaran a traslados de silla a cama. </w:t>
      </w:r>
      <w:r w:rsidRPr="0050179B">
        <w:t>De igual manera notaba</w:t>
      </w:r>
      <w:r>
        <w:t xml:space="preserve"> que al flexionar el cuello, presentaba sensación de descarga eléctrica irradiada desde la espalda hasta las piernas</w:t>
      </w:r>
      <w:r w:rsidRPr="00173C8E">
        <w:t xml:space="preserve">. </w:t>
      </w:r>
      <w:r>
        <w:t xml:space="preserve">Dos meses previos al ingreso hospitalario presenta aparición de lesiones en lengua que le producen sensación de quemazón y dolor al deglutir alimentos que la lleva a disminución en la ingesta y pérdida aproximada de 5 </w:t>
      </w:r>
      <w:r w:rsidRPr="0050179B">
        <w:t>kilogramos aunado a un desarrollo</w:t>
      </w:r>
      <w:r>
        <w:t xml:space="preserve"> de mayor sensación de debilidad en su estado general. Consulta a</w:t>
      </w:r>
      <w:r w:rsidRPr="0050179B">
        <w:t xml:space="preserve">l </w:t>
      </w:r>
      <w:r>
        <w:t xml:space="preserve">hospital local, donde la envían con diagnósticos de </w:t>
      </w:r>
      <w:proofErr w:type="spellStart"/>
      <w:r>
        <w:t>paraparesia</w:t>
      </w:r>
      <w:proofErr w:type="spellEnd"/>
      <w:r>
        <w:t xml:space="preserve"> y anemia para continuar estudios.</w:t>
      </w:r>
    </w:p>
    <w:p w:rsidR="00106B38" w:rsidRPr="00173C8E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 w:rsidRPr="00103028">
        <w:rPr>
          <w:rFonts w:ascii="Times New Roman" w:hAnsi="Times New Roman"/>
        </w:rPr>
        <w:t xml:space="preserve">Como antecedentes personales presentaba hipertensión arterial manejada con </w:t>
      </w:r>
      <w:proofErr w:type="spellStart"/>
      <w:r w:rsidRPr="00103028">
        <w:rPr>
          <w:rFonts w:ascii="Times New Roman" w:hAnsi="Times New Roman"/>
        </w:rPr>
        <w:t>captopril</w:t>
      </w:r>
      <w:proofErr w:type="spellEnd"/>
      <w:r w:rsidRPr="00103028">
        <w:rPr>
          <w:rFonts w:ascii="Times New Roman" w:hAnsi="Times New Roman"/>
        </w:rPr>
        <w:t xml:space="preserve"> 50 mg cada 12 horas. </w:t>
      </w:r>
      <w:r>
        <w:rPr>
          <w:rFonts w:ascii="Times New Roman" w:hAnsi="Times New Roman"/>
        </w:rPr>
        <w:t xml:space="preserve">No refería consumo de alcohol ni hábitos dietéticos vegetarianos. </w:t>
      </w:r>
      <w:r w:rsidRPr="00103028">
        <w:rPr>
          <w:rFonts w:ascii="Times New Roman" w:hAnsi="Times New Roman"/>
        </w:rPr>
        <w:t xml:space="preserve">Sin otros antecedentes </w:t>
      </w:r>
      <w:r>
        <w:rPr>
          <w:rFonts w:ascii="Times New Roman" w:hAnsi="Times New Roman"/>
        </w:rPr>
        <w:t xml:space="preserve">personales o familiares </w:t>
      </w:r>
      <w:r w:rsidRPr="00103028">
        <w:rPr>
          <w:rFonts w:ascii="Times New Roman" w:hAnsi="Times New Roman"/>
        </w:rPr>
        <w:t>de importancia.</w:t>
      </w:r>
    </w:p>
    <w:p w:rsidR="00106B38" w:rsidRDefault="00106B38" w:rsidP="00106B38">
      <w:pPr>
        <w:spacing w:line="360" w:lineRule="auto"/>
        <w:ind w:firstLine="284"/>
        <w:jc w:val="both"/>
      </w:pPr>
      <w:r w:rsidRPr="00EC74FB">
        <w:rPr>
          <w:bCs/>
        </w:rPr>
        <w:t>Al examen</w:t>
      </w:r>
      <w:r w:rsidRPr="00173C8E">
        <w:rPr>
          <w:bCs/>
        </w:rPr>
        <w:t xml:space="preserve"> físico</w:t>
      </w:r>
      <w:r>
        <w:rPr>
          <w:bCs/>
        </w:rPr>
        <w:t xml:space="preserve"> de ingreso a hospitalización, se encontraba en regular estado general, </w:t>
      </w:r>
      <w:proofErr w:type="gramStart"/>
      <w:r>
        <w:rPr>
          <w:bCs/>
        </w:rPr>
        <w:t>pálida</w:t>
      </w:r>
      <w:proofErr w:type="gramEnd"/>
      <w:r>
        <w:rPr>
          <w:bCs/>
        </w:rPr>
        <w:t xml:space="preserve"> y con pérdida marcada de masa muscular. La </w:t>
      </w:r>
      <w:r w:rsidRPr="00173C8E">
        <w:rPr>
          <w:bCs/>
        </w:rPr>
        <w:t>presión arterial de 130/</w:t>
      </w:r>
      <w:r>
        <w:rPr>
          <w:bCs/>
        </w:rPr>
        <w:t>8</w:t>
      </w:r>
      <w:r w:rsidRPr="00173C8E">
        <w:rPr>
          <w:bCs/>
        </w:rPr>
        <w:t>0 mm/Hg,</w:t>
      </w:r>
      <w:r>
        <w:rPr>
          <w:bCs/>
        </w:rPr>
        <w:t xml:space="preserve"> sin </w:t>
      </w:r>
      <w:proofErr w:type="spellStart"/>
      <w:r>
        <w:rPr>
          <w:bCs/>
        </w:rPr>
        <w:t>ortostatismo</w:t>
      </w:r>
      <w:proofErr w:type="spellEnd"/>
      <w:r>
        <w:rPr>
          <w:bCs/>
        </w:rPr>
        <w:t>,</w:t>
      </w:r>
      <w:r w:rsidRPr="00173C8E">
        <w:rPr>
          <w:bCs/>
        </w:rPr>
        <w:t xml:space="preserve"> f</w:t>
      </w:r>
      <w:r w:rsidRPr="00173C8E">
        <w:t>recuencia respiratoria 1</w:t>
      </w:r>
      <w:r>
        <w:t>7</w:t>
      </w:r>
      <w:r w:rsidRPr="00173C8E">
        <w:t xml:space="preserve"> por minuto y frecuencia cardíaca 8</w:t>
      </w:r>
      <w:r>
        <w:t>5</w:t>
      </w:r>
      <w:r w:rsidRPr="00173C8E">
        <w:t xml:space="preserve"> por minuto. </w:t>
      </w:r>
      <w:r>
        <w:t xml:space="preserve">El peso previo al desarrollo de enfermedad era de 70 kg y el actual 60 kg, talla 1,65. En cavidad oral se observaba lengua lisa, brillante, rojiza, </w:t>
      </w:r>
      <w:proofErr w:type="spellStart"/>
      <w:r>
        <w:t>depapilada</w:t>
      </w:r>
      <w:proofErr w:type="spellEnd"/>
      <w:r>
        <w:t xml:space="preserve"> y con ulceración a nivel lateral (F</w:t>
      </w:r>
      <w:r w:rsidRPr="00134E24">
        <w:t xml:space="preserve">igura 1 </w:t>
      </w:r>
      <w:r>
        <w:t>A</w:t>
      </w:r>
      <w:r w:rsidRPr="00134E24">
        <w:t xml:space="preserve"> y </w:t>
      </w:r>
      <w:r>
        <w:t>B)</w:t>
      </w:r>
      <w:r w:rsidRPr="00134E24">
        <w:t>.</w:t>
      </w:r>
      <w:r>
        <w:t xml:space="preserve"> </w:t>
      </w:r>
    </w:p>
    <w:p w:rsidR="00106B38" w:rsidRDefault="00106B38" w:rsidP="00106B38">
      <w:pPr>
        <w:spacing w:line="360" w:lineRule="auto"/>
        <w:ind w:firstLine="284"/>
        <w:jc w:val="both"/>
      </w:pPr>
      <w:r>
        <w:t xml:space="preserve">El examen </w:t>
      </w:r>
      <w:r w:rsidRPr="00C63325">
        <w:t xml:space="preserve">neurológico </w:t>
      </w:r>
      <w:r>
        <w:t>se</w:t>
      </w:r>
      <w:r w:rsidRPr="00C63325">
        <w:t xml:space="preserve"> mostraba alerta</w:t>
      </w:r>
      <w:r>
        <w:t xml:space="preserve"> y orientada en tres esferas, no había compromiso de pares craneales ni movimientos anormales. Presentaba debilidad muscular grado 3/5 y espasticidad en las cuatro extremidades, tono y </w:t>
      </w:r>
      <w:proofErr w:type="spellStart"/>
      <w:r>
        <w:t>trofismo</w:t>
      </w:r>
      <w:proofErr w:type="spellEnd"/>
      <w:r>
        <w:t xml:space="preserve"> disminuidos. El sistema sensitivo superficial, tacto, dolor y temperatura eran normales. La sensibilidad profunda se encontraba alterada, con </w:t>
      </w:r>
      <w:r w:rsidRPr="003232A2">
        <w:t xml:space="preserve">ausencia </w:t>
      </w:r>
      <w:r>
        <w:t>para</w:t>
      </w:r>
      <w:r w:rsidRPr="003232A2">
        <w:t xml:space="preserve"> la sensación vibratoria</w:t>
      </w:r>
      <w:r>
        <w:t xml:space="preserve"> </w:t>
      </w:r>
      <w:r w:rsidRPr="003232A2">
        <w:t xml:space="preserve">del sentido de posición en miembros superiores e inferiores, </w:t>
      </w:r>
      <w:r>
        <w:t xml:space="preserve">parestesias </w:t>
      </w:r>
      <w:r w:rsidRPr="003232A2">
        <w:t>e</w:t>
      </w:r>
      <w:r>
        <w:t>n</w:t>
      </w:r>
      <w:r w:rsidRPr="003232A2">
        <w:t xml:space="preserve"> manos y pies y signo de Lhermitte</w:t>
      </w:r>
      <w:r>
        <w:t xml:space="preserve"> positivo.</w:t>
      </w:r>
      <w:r w:rsidRPr="00540755">
        <w:t xml:space="preserve"> </w:t>
      </w:r>
      <w:r>
        <w:t xml:space="preserve">La marcha era característica de ataxia sensorial con inestabilidad </w:t>
      </w:r>
      <w:r w:rsidRPr="003232A2">
        <w:t>postural, polígono de sustentación amplio</w:t>
      </w:r>
      <w:r>
        <w:t xml:space="preserve">, </w:t>
      </w:r>
      <w:r w:rsidRPr="003232A2">
        <w:t xml:space="preserve">signo de </w:t>
      </w:r>
      <w:proofErr w:type="spellStart"/>
      <w:r w:rsidRPr="003232A2">
        <w:t>Romberg</w:t>
      </w:r>
      <w:proofErr w:type="spellEnd"/>
      <w:r w:rsidRPr="003232A2">
        <w:t xml:space="preserve"> </w:t>
      </w:r>
      <w:r w:rsidRPr="003232A2">
        <w:lastRenderedPageBreak/>
        <w:t>positivo</w:t>
      </w:r>
      <w:r>
        <w:t xml:space="preserve">, </w:t>
      </w:r>
      <w:r w:rsidRPr="003232A2">
        <w:t xml:space="preserve">reflejos </w:t>
      </w:r>
      <w:proofErr w:type="spellStart"/>
      <w:r w:rsidRPr="003232A2">
        <w:t>osteotendinosos</w:t>
      </w:r>
      <w:proofErr w:type="spellEnd"/>
      <w:r>
        <w:t xml:space="preserve"> disminuidos en especial en miembros inferiores y reflejo plantar flexor bilateral presente</w:t>
      </w:r>
      <w:r w:rsidRPr="003232A2">
        <w:t>.</w:t>
      </w:r>
      <w:r>
        <w:t xml:space="preserve"> Se le realizaron diferentes estudios </w:t>
      </w:r>
      <w:proofErr w:type="spellStart"/>
      <w:r>
        <w:t>paraclínicos</w:t>
      </w:r>
      <w:proofErr w:type="spellEnd"/>
      <w:r>
        <w:t xml:space="preserve">  (Cuadro 1). También se le practic</w:t>
      </w:r>
      <w:r w:rsidRPr="00EA4301">
        <w:t xml:space="preserve">ó </w:t>
      </w:r>
      <w:r>
        <w:t xml:space="preserve">un parcial de orina, serología y prueba de </w:t>
      </w:r>
      <w:proofErr w:type="spellStart"/>
      <w:r>
        <w:t>Coombs</w:t>
      </w:r>
      <w:proofErr w:type="spellEnd"/>
      <w:r>
        <w:t xml:space="preserve"> directa en parámetros de normalidad. Además un extendido de sangre donde se evidenció en la serie roja anisocitosis, </w:t>
      </w:r>
      <w:proofErr w:type="spellStart"/>
      <w:r>
        <w:t>macrocitosis</w:t>
      </w:r>
      <w:proofErr w:type="spellEnd"/>
      <w:r>
        <w:t xml:space="preserve"> y </w:t>
      </w:r>
      <w:proofErr w:type="spellStart"/>
      <w:r>
        <w:t>poiquilocitosis</w:t>
      </w:r>
      <w:proofErr w:type="spellEnd"/>
      <w:r>
        <w:t xml:space="preserve">. Serie blanca con neutrófilos </w:t>
      </w:r>
      <w:proofErr w:type="spellStart"/>
      <w:r>
        <w:t>hipersegmentados</w:t>
      </w:r>
      <w:proofErr w:type="spellEnd"/>
      <w:r>
        <w:t xml:space="preserve"> y serie </w:t>
      </w:r>
      <w:proofErr w:type="spellStart"/>
      <w:r>
        <w:t>plaquetaria</w:t>
      </w:r>
      <w:proofErr w:type="spellEnd"/>
      <w:r>
        <w:t xml:space="preserve"> sin alteraciones. Se realiz</w:t>
      </w:r>
      <w:r w:rsidRPr="00EA4301">
        <w:t xml:space="preserve">ó </w:t>
      </w:r>
      <w:r>
        <w:t xml:space="preserve">una endoscopia digestiva alta donde la biopsia mostró gastritis crónica atrófica con </w:t>
      </w:r>
      <w:proofErr w:type="spellStart"/>
      <w:r w:rsidRPr="000B228F">
        <w:rPr>
          <w:i/>
        </w:rPr>
        <w:t>Helicobacter</w:t>
      </w:r>
      <w:proofErr w:type="spellEnd"/>
      <w:r w:rsidRPr="000B228F">
        <w:rPr>
          <w:i/>
        </w:rPr>
        <w:t xml:space="preserve"> pylori</w:t>
      </w:r>
      <w:r>
        <w:t xml:space="preserve"> positivo.</w:t>
      </w:r>
    </w:p>
    <w:p w:rsidR="00106B38" w:rsidRPr="002640FC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  <w:bCs/>
        </w:rPr>
      </w:pPr>
      <w:r w:rsidRPr="00EA4301">
        <w:rPr>
          <w:rFonts w:ascii="Times New Roman" w:hAnsi="Times New Roman"/>
          <w:bCs/>
        </w:rPr>
        <w:t xml:space="preserve">Se </w:t>
      </w:r>
      <w:r>
        <w:rPr>
          <w:rFonts w:ascii="Times New Roman" w:hAnsi="Times New Roman"/>
          <w:bCs/>
        </w:rPr>
        <w:t xml:space="preserve">aplicaron escalas de valoración </w:t>
      </w:r>
      <w:r w:rsidRPr="002640FC">
        <w:rPr>
          <w:rFonts w:ascii="Times New Roman" w:hAnsi="Times New Roman"/>
          <w:bCs/>
        </w:rPr>
        <w:t xml:space="preserve">geriátrica dentro de las cuales se tienen: examen mínimo mental </w:t>
      </w:r>
      <w:r>
        <w:rPr>
          <w:rFonts w:ascii="Times New Roman" w:hAnsi="Times New Roman"/>
          <w:bCs/>
        </w:rPr>
        <w:t>28</w:t>
      </w:r>
      <w:r w:rsidRPr="002640FC">
        <w:rPr>
          <w:rFonts w:ascii="Times New Roman" w:hAnsi="Times New Roman"/>
          <w:bCs/>
        </w:rPr>
        <w:t xml:space="preserve">/30, escala de depresión geriátrica 4/15, </w:t>
      </w:r>
      <w:r w:rsidRPr="002640FC">
        <w:rPr>
          <w:rFonts w:ascii="Times New Roman" w:hAnsi="Times New Roman"/>
        </w:rPr>
        <w:t>actividades de la vida diaria en el aspecto físico</w:t>
      </w:r>
      <w:r>
        <w:rPr>
          <w:rFonts w:ascii="Times New Roman" w:hAnsi="Times New Roman"/>
        </w:rPr>
        <w:t xml:space="preserve"> mediante </w:t>
      </w:r>
      <w:r w:rsidRPr="002640FC">
        <w:rPr>
          <w:rFonts w:ascii="Times New Roman" w:hAnsi="Times New Roman"/>
        </w:rPr>
        <w:t>la escala de Bar</w:t>
      </w:r>
      <w:r w:rsidRPr="002640FC">
        <w:rPr>
          <w:rFonts w:ascii="Times New Roman" w:hAnsi="Times New Roman"/>
          <w:bCs/>
        </w:rPr>
        <w:t>thel 6</w:t>
      </w:r>
      <w:r>
        <w:rPr>
          <w:rFonts w:ascii="Times New Roman" w:hAnsi="Times New Roman"/>
          <w:bCs/>
        </w:rPr>
        <w:t>0</w:t>
      </w:r>
      <w:r w:rsidRPr="002640FC">
        <w:rPr>
          <w:rFonts w:ascii="Times New Roman" w:hAnsi="Times New Roman"/>
          <w:bCs/>
        </w:rPr>
        <w:t>/100</w:t>
      </w:r>
      <w:r>
        <w:rPr>
          <w:rFonts w:ascii="Times New Roman" w:hAnsi="Times New Roman"/>
          <w:bCs/>
        </w:rPr>
        <w:t xml:space="preserve">, </w:t>
      </w:r>
      <w:r w:rsidRPr="002640FC">
        <w:rPr>
          <w:rFonts w:ascii="Times New Roman" w:hAnsi="Times New Roman"/>
          <w:bCs/>
        </w:rPr>
        <w:t xml:space="preserve">escala de riesgo para caídas de </w:t>
      </w:r>
      <w:r>
        <w:rPr>
          <w:rFonts w:ascii="Times New Roman" w:hAnsi="Times New Roman"/>
          <w:bCs/>
        </w:rPr>
        <w:t xml:space="preserve">JH </w:t>
      </w:r>
      <w:proofErr w:type="spellStart"/>
      <w:r>
        <w:rPr>
          <w:rFonts w:ascii="Times New Roman" w:hAnsi="Times New Roman"/>
          <w:bCs/>
        </w:rPr>
        <w:t>D</w:t>
      </w:r>
      <w:r w:rsidRPr="002640FC">
        <w:rPr>
          <w:rFonts w:ascii="Times New Roman" w:hAnsi="Times New Roman"/>
          <w:bCs/>
        </w:rPr>
        <w:t>ownton</w:t>
      </w:r>
      <w:proofErr w:type="spellEnd"/>
      <w:r>
        <w:rPr>
          <w:rFonts w:ascii="Times New Roman" w:hAnsi="Times New Roman"/>
          <w:bCs/>
        </w:rPr>
        <w:t xml:space="preserve"> 3 puntos y evaluación del estado nutricional a través del </w:t>
      </w:r>
      <w:r w:rsidRPr="00FD76CE">
        <w:rPr>
          <w:rFonts w:ascii="Times New Roman" w:hAnsi="Times New Roman"/>
          <w:bCs/>
        </w:rPr>
        <w:t>mini</w:t>
      </w:r>
      <w:r>
        <w:rPr>
          <w:rFonts w:ascii="Times New Roman" w:hAnsi="Times New Roman"/>
          <w:bCs/>
        </w:rPr>
        <w:t>-</w:t>
      </w:r>
      <w:proofErr w:type="spellStart"/>
      <w:r w:rsidRPr="00FD76CE">
        <w:rPr>
          <w:rFonts w:ascii="Times New Roman" w:hAnsi="Times New Roman"/>
          <w:bCs/>
        </w:rPr>
        <w:t>nutritional</w:t>
      </w:r>
      <w:proofErr w:type="spellEnd"/>
      <w:r w:rsidRPr="00FD76CE">
        <w:rPr>
          <w:rFonts w:ascii="Times New Roman" w:hAnsi="Times New Roman"/>
          <w:bCs/>
        </w:rPr>
        <w:t xml:space="preserve"> </w:t>
      </w:r>
      <w:proofErr w:type="spellStart"/>
      <w:r w:rsidRPr="00FD76CE">
        <w:rPr>
          <w:rFonts w:ascii="Times New Roman" w:hAnsi="Times New Roman"/>
          <w:bCs/>
        </w:rPr>
        <w:t>assessment</w:t>
      </w:r>
      <w:proofErr w:type="spellEnd"/>
      <w:r>
        <w:rPr>
          <w:rFonts w:ascii="Times New Roman" w:hAnsi="Times New Roman"/>
          <w:bCs/>
        </w:rPr>
        <w:t xml:space="preserve"> 16/30 puntos.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 realizó diagnóstico de déficit de vitamina B12 con manifestaciones hematológicas dadas por anemia macrocítica, neurológicas por marcha atáxica y en piel y mucosas por glositis de Hunter.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Debido a las alteraciones neurológicas en asocio con la marcha de características atáxica y niveles bajos de vitamina B12, se decidió solicitar una resonancia magnética nuclear de </w:t>
      </w:r>
      <w:r w:rsidRPr="00026A12">
        <w:rPr>
          <w:rFonts w:ascii="Times New Roman" w:hAnsi="Times New Roman"/>
        </w:rPr>
        <w:t>columna cervical y torácica</w:t>
      </w:r>
      <w:r>
        <w:rPr>
          <w:rFonts w:ascii="Times New Roman" w:hAnsi="Times New Roman"/>
        </w:rPr>
        <w:t xml:space="preserve">, donde se documentaron imágenes compatibles con degeneración combinada </w:t>
      </w:r>
      <w:proofErr w:type="spellStart"/>
      <w:r>
        <w:rPr>
          <w:rFonts w:ascii="Times New Roman" w:hAnsi="Times New Roman"/>
        </w:rPr>
        <w:t>subaguda</w:t>
      </w:r>
      <w:proofErr w:type="spellEnd"/>
      <w:r>
        <w:rPr>
          <w:rFonts w:ascii="Times New Roman" w:hAnsi="Times New Roman"/>
        </w:rPr>
        <w:t xml:space="preserve"> de la medula (Figura 2).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Se inici</w:t>
      </w:r>
      <w:r w:rsidRPr="008C3969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reemplazo </w:t>
      </w:r>
      <w:r w:rsidRPr="009510C3">
        <w:rPr>
          <w:rFonts w:ascii="Times New Roman" w:hAnsi="Times New Roman"/>
        </w:rPr>
        <w:t xml:space="preserve">con </w:t>
      </w:r>
      <w:proofErr w:type="spellStart"/>
      <w:r w:rsidRPr="009510C3">
        <w:rPr>
          <w:rFonts w:ascii="Times New Roman" w:hAnsi="Times New Roman"/>
          <w:bCs/>
        </w:rPr>
        <w:t>Cbl</w:t>
      </w:r>
      <w:proofErr w:type="spellEnd"/>
      <w:r w:rsidRPr="009510C3">
        <w:rPr>
          <w:rFonts w:ascii="Times New Roman" w:hAnsi="Times New Roman"/>
        </w:rPr>
        <w:t xml:space="preserve"> presentando</w:t>
      </w:r>
      <w:r>
        <w:rPr>
          <w:rFonts w:ascii="Times New Roman" w:hAnsi="Times New Roman"/>
        </w:rPr>
        <w:t xml:space="preserve"> a las tres semanas ascenso en valores de hemoglobina con descenso niveles de lactato </w:t>
      </w:r>
      <w:proofErr w:type="spellStart"/>
      <w:r>
        <w:rPr>
          <w:rFonts w:ascii="Times New Roman" w:hAnsi="Times New Roman"/>
        </w:rPr>
        <w:t>deshidrogenesa</w:t>
      </w:r>
      <w:proofErr w:type="spellEnd"/>
      <w:r>
        <w:rPr>
          <w:rFonts w:ascii="Times New Roman" w:hAnsi="Times New Roman"/>
        </w:rPr>
        <w:t xml:space="preserve"> que indicó mejoría en la eritropoyesis inefectiva. La glositis resolvió al mes de instaurado la reposición con </w:t>
      </w:r>
      <w:proofErr w:type="spellStart"/>
      <w:r w:rsidRPr="009510C3">
        <w:rPr>
          <w:rFonts w:ascii="Times New Roman" w:hAnsi="Times New Roman"/>
          <w:bCs/>
        </w:rPr>
        <w:t>Cbl</w:t>
      </w:r>
      <w:proofErr w:type="spellEnd"/>
      <w:r w:rsidRPr="00384D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(F</w:t>
      </w:r>
      <w:r w:rsidRPr="007D6B6E">
        <w:rPr>
          <w:rFonts w:ascii="Times New Roman" w:hAnsi="Times New Roman"/>
        </w:rPr>
        <w:t xml:space="preserve">igura 1 </w:t>
      </w:r>
      <w:r>
        <w:rPr>
          <w:rFonts w:ascii="Times New Roman" w:hAnsi="Times New Roman"/>
        </w:rPr>
        <w:t>C</w:t>
      </w:r>
      <w:r w:rsidRPr="007D6B6E">
        <w:rPr>
          <w:rFonts w:ascii="Times New Roman" w:hAnsi="Times New Roman"/>
        </w:rPr>
        <w:t xml:space="preserve"> y </w:t>
      </w:r>
      <w:r>
        <w:rPr>
          <w:rFonts w:ascii="Times New Roman" w:hAnsi="Times New Roman"/>
        </w:rPr>
        <w:t>D)</w:t>
      </w:r>
      <w:r w:rsidRPr="007D6B6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Al tercer mes de tratamiento obtuvo mejoría en la marcha siendo independiente, así como también en la sintomatología sensitiva.</w:t>
      </w:r>
    </w:p>
    <w:p w:rsidR="00106B38" w:rsidRDefault="00106B38" w:rsidP="00106B38">
      <w:pPr>
        <w:spacing w:line="360" w:lineRule="auto"/>
        <w:jc w:val="both"/>
        <w:rPr>
          <w:b/>
        </w:rPr>
      </w:pPr>
    </w:p>
    <w:p w:rsidR="00106B38" w:rsidRDefault="00106B38" w:rsidP="00106B38">
      <w:pPr>
        <w:spacing w:line="360" w:lineRule="auto"/>
        <w:jc w:val="both"/>
        <w:rPr>
          <w:b/>
        </w:rPr>
      </w:pPr>
      <w:r w:rsidRPr="00173C8E">
        <w:rPr>
          <w:b/>
        </w:rPr>
        <w:t>DISCUSIÓN</w:t>
      </w:r>
    </w:p>
    <w:p w:rsidR="00106B38" w:rsidRPr="00173C8E" w:rsidRDefault="00106B38" w:rsidP="00106B38">
      <w:pPr>
        <w:spacing w:line="360" w:lineRule="auto"/>
        <w:jc w:val="both"/>
        <w:rPr>
          <w:b/>
        </w:rPr>
      </w:pP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La primera descripción del déficit de vitamina B12 fue realizada por el médico ing</w:t>
      </w:r>
      <w:r w:rsidRPr="008C3969">
        <w:rPr>
          <w:rFonts w:ascii="Times New Roman" w:hAnsi="Times New Roman"/>
        </w:rPr>
        <w:t>lés</w:t>
      </w:r>
      <w:r>
        <w:rPr>
          <w:rFonts w:ascii="Times New Roman" w:hAnsi="Times New Roman"/>
        </w:rPr>
        <w:t xml:space="preserve"> Thomas </w:t>
      </w:r>
      <w:proofErr w:type="spellStart"/>
      <w:r>
        <w:rPr>
          <w:rFonts w:ascii="Times New Roman" w:hAnsi="Times New Roman"/>
        </w:rPr>
        <w:t>Addison</w:t>
      </w:r>
      <w:proofErr w:type="spellEnd"/>
      <w:r>
        <w:rPr>
          <w:rFonts w:ascii="Times New Roman" w:hAnsi="Times New Roman"/>
        </w:rPr>
        <w:t xml:space="preserve"> en el año 1855, </w:t>
      </w:r>
      <w:r w:rsidRPr="008C3969">
        <w:rPr>
          <w:rFonts w:ascii="Times New Roman" w:hAnsi="Times New Roman"/>
        </w:rPr>
        <w:t>quien la denominó anemia</w:t>
      </w:r>
      <w:r>
        <w:rPr>
          <w:rFonts w:ascii="Times New Roman" w:hAnsi="Times New Roman"/>
        </w:rPr>
        <w:t xml:space="preserve"> perniciosa y fue descrita como una enfermedad que se manifestaba con anemia macrocítica, glositis y síntomas neurológicos, similares al caso presentado</w:t>
      </w:r>
      <w:r w:rsidRPr="00A66C93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vitamina B12 hace parte del grupo de vitaminas hidrosolubles, un nutriente esencial que debe ser obtenido mediante la dieta. Esta vitamina ejerce su acción </w:t>
      </w:r>
      <w:r>
        <w:rPr>
          <w:rFonts w:ascii="Times New Roman" w:hAnsi="Times New Roman"/>
        </w:rPr>
        <w:lastRenderedPageBreak/>
        <w:t>fisiológica a través de dos vías enzimáticas</w:t>
      </w:r>
      <w:r w:rsidRPr="00B8298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l</w:t>
      </w:r>
      <w:r w:rsidRPr="00B8298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primera </w:t>
      </w:r>
      <w:r w:rsidRPr="00B8298B">
        <w:rPr>
          <w:rFonts w:ascii="Times New Roman" w:hAnsi="Times New Roman"/>
        </w:rPr>
        <w:t>actúa</w:t>
      </w:r>
      <w:r>
        <w:rPr>
          <w:rFonts w:ascii="Times New Roman" w:hAnsi="Times New Roman"/>
        </w:rPr>
        <w:t xml:space="preserve"> como </w:t>
      </w:r>
      <w:proofErr w:type="spellStart"/>
      <w:r>
        <w:rPr>
          <w:rFonts w:ascii="Times New Roman" w:hAnsi="Times New Roman"/>
        </w:rPr>
        <w:t>co</w:t>
      </w:r>
      <w:proofErr w:type="spellEnd"/>
      <w:r>
        <w:rPr>
          <w:rFonts w:ascii="Times New Roman" w:hAnsi="Times New Roman"/>
        </w:rPr>
        <w:t xml:space="preserve">-factor para la enzima metionina </w:t>
      </w:r>
      <w:proofErr w:type="spellStart"/>
      <w:r>
        <w:rPr>
          <w:rFonts w:ascii="Times New Roman" w:hAnsi="Times New Roman"/>
        </w:rPr>
        <w:t>sintetasa</w:t>
      </w:r>
      <w:proofErr w:type="spellEnd"/>
      <w:r>
        <w:rPr>
          <w:rFonts w:ascii="Times New Roman" w:hAnsi="Times New Roman"/>
        </w:rPr>
        <w:t xml:space="preserve"> que convierte la </w:t>
      </w:r>
      <w:proofErr w:type="spellStart"/>
      <w:r>
        <w:rPr>
          <w:rFonts w:ascii="Times New Roman" w:hAnsi="Times New Roman"/>
        </w:rPr>
        <w:t>homocisteina</w:t>
      </w:r>
      <w:proofErr w:type="spellEnd"/>
      <w:r>
        <w:rPr>
          <w:rFonts w:ascii="Times New Roman" w:hAnsi="Times New Roman"/>
        </w:rPr>
        <w:t xml:space="preserve"> en metionina y la </w:t>
      </w:r>
      <w:r w:rsidRPr="00B8298B">
        <w:rPr>
          <w:rFonts w:ascii="Times New Roman" w:hAnsi="Times New Roman"/>
        </w:rPr>
        <w:t>segunda que actúa</w:t>
      </w:r>
      <w:r>
        <w:rPr>
          <w:rFonts w:ascii="Times New Roman" w:hAnsi="Times New Roman"/>
          <w:color w:val="FF5050"/>
        </w:rPr>
        <w:t xml:space="preserve"> </w:t>
      </w:r>
      <w:r>
        <w:rPr>
          <w:rFonts w:ascii="Times New Roman" w:hAnsi="Times New Roman"/>
        </w:rPr>
        <w:t>sobre la enzima L-</w:t>
      </w:r>
      <w:proofErr w:type="spellStart"/>
      <w:r>
        <w:rPr>
          <w:rFonts w:ascii="Times New Roman" w:hAnsi="Times New Roman"/>
        </w:rPr>
        <w:t>metilmalonil</w:t>
      </w:r>
      <w:proofErr w:type="spellEnd"/>
      <w:r>
        <w:rPr>
          <w:rFonts w:ascii="Times New Roman" w:hAnsi="Times New Roman"/>
        </w:rPr>
        <w:t xml:space="preserve"> Coenzima A (</w:t>
      </w:r>
      <w:proofErr w:type="spellStart"/>
      <w:r>
        <w:rPr>
          <w:rFonts w:ascii="Times New Roman" w:hAnsi="Times New Roman"/>
        </w:rPr>
        <w:t>CoA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mutasa</w:t>
      </w:r>
      <w:proofErr w:type="spellEnd"/>
      <w:r>
        <w:rPr>
          <w:rFonts w:ascii="Times New Roman" w:hAnsi="Times New Roman"/>
        </w:rPr>
        <w:t xml:space="preserve"> para la conversión de </w:t>
      </w:r>
      <w:proofErr w:type="spellStart"/>
      <w:r>
        <w:rPr>
          <w:rFonts w:ascii="Times New Roman" w:hAnsi="Times New Roman"/>
        </w:rPr>
        <w:t>metilmalonil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succionil</w:t>
      </w:r>
      <w:proofErr w:type="spellEnd"/>
      <w:r>
        <w:rPr>
          <w:rFonts w:ascii="Times New Roman" w:hAnsi="Times New Roman"/>
        </w:rPr>
        <w:t xml:space="preserve"> CoA</w:t>
      </w:r>
      <w:r w:rsidRPr="0063114B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. De esta manera el déficit de B12 puede llevar al incremento en la </w:t>
      </w:r>
      <w:proofErr w:type="spellStart"/>
      <w:r>
        <w:rPr>
          <w:rFonts w:ascii="Times New Roman" w:hAnsi="Times New Roman"/>
        </w:rPr>
        <w:t>homocisteina</w:t>
      </w:r>
      <w:proofErr w:type="spellEnd"/>
      <w:r>
        <w:rPr>
          <w:rFonts w:ascii="Times New Roman" w:hAnsi="Times New Roman"/>
        </w:rPr>
        <w:t xml:space="preserve">, </w:t>
      </w:r>
      <w:r w:rsidRPr="00B8298B">
        <w:rPr>
          <w:rFonts w:ascii="Times New Roman" w:hAnsi="Times New Roman"/>
        </w:rPr>
        <w:t>la cual tiene</w:t>
      </w:r>
      <w:r>
        <w:rPr>
          <w:rFonts w:ascii="Times New Roman" w:hAnsi="Times New Roman"/>
        </w:rPr>
        <w:t xml:space="preserve"> acción </w:t>
      </w:r>
      <w:proofErr w:type="spellStart"/>
      <w:r>
        <w:rPr>
          <w:rFonts w:ascii="Times New Roman" w:hAnsi="Times New Roman"/>
        </w:rPr>
        <w:t>vasculotóxica</w:t>
      </w:r>
      <w:proofErr w:type="spellEnd"/>
      <w:r>
        <w:rPr>
          <w:rFonts w:ascii="Times New Roman" w:hAnsi="Times New Roman"/>
        </w:rPr>
        <w:t xml:space="preserve">, neurotóxica y cancerígena y del ácido </w:t>
      </w:r>
      <w:proofErr w:type="spellStart"/>
      <w:r>
        <w:rPr>
          <w:rFonts w:ascii="Times New Roman" w:hAnsi="Times New Roman"/>
        </w:rPr>
        <w:t>metilmalonico</w:t>
      </w:r>
      <w:proofErr w:type="spellEnd"/>
      <w:r>
        <w:rPr>
          <w:rFonts w:ascii="Times New Roman" w:hAnsi="Times New Roman"/>
        </w:rPr>
        <w:t xml:space="preserve"> con efectos neurotóxicos que afecta las vainas de mielina y axones</w:t>
      </w:r>
      <w:r w:rsidRPr="0063114B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 otro lado, una dieta típica de un país occidental ofrece entre 5 y 15 </w:t>
      </w:r>
      <w:r>
        <w:rPr>
          <w:rFonts w:ascii="Symbol" w:hAnsi="Symbol"/>
        </w:rPr>
        <w:t></w:t>
      </w:r>
      <w:r>
        <w:rPr>
          <w:rFonts w:ascii="Times New Roman" w:hAnsi="Times New Roman"/>
        </w:rPr>
        <w:t xml:space="preserve">g de vitamina B12 al día. La ingesta dietética recomendada para vitamina B12 es de 2 a 3 </w:t>
      </w:r>
      <w:r>
        <w:rPr>
          <w:rFonts w:ascii="Symbol" w:hAnsi="Symbol"/>
        </w:rPr>
        <w:t></w:t>
      </w:r>
      <w:r>
        <w:rPr>
          <w:rFonts w:ascii="Times New Roman" w:hAnsi="Times New Roman"/>
        </w:rPr>
        <w:t>g/día y l</w:t>
      </w:r>
      <w:r w:rsidRPr="00B86DC8"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</w:rPr>
        <w:t>s</w:t>
      </w:r>
      <w:r w:rsidRPr="00B86DC8">
        <w:rPr>
          <w:rFonts w:ascii="Times New Roman" w:hAnsi="Times New Roman"/>
          <w:color w:val="231F20"/>
        </w:rPr>
        <w:t xml:space="preserve"> reservas corporales son de 2 a 5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mg.</w:t>
      </w:r>
      <w:proofErr w:type="spellEnd"/>
      <w:r>
        <w:rPr>
          <w:rFonts w:ascii="Times New Roman" w:hAnsi="Times New Roman"/>
          <w:color w:val="231F20"/>
        </w:rPr>
        <w:t xml:space="preserve"> P</w:t>
      </w:r>
      <w:r>
        <w:rPr>
          <w:rFonts w:ascii="Times New Roman" w:hAnsi="Times New Roman"/>
        </w:rPr>
        <w:t>or lo cual se requiere entre 2 y 5 años desde el inicio del déficit hasta que se presenten las primeras manifestaciones clínicas, lo cual es explicado por su importante almacenamiento a nivel hepático (&gt;1.5 mg) y por su ciclo enterohepático</w:t>
      </w:r>
      <w:r w:rsidRPr="00503091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>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déficit de B12 puede afectar cualquier grupo etario, aunque es más frecuente en adultos mayores (AM) debido a la alta prevalencia de gastritis atrófica, la cual es causada por mediación autoinmune, como también a la presencia concomitante de infección por </w:t>
      </w:r>
      <w:r w:rsidRPr="00C32966">
        <w:rPr>
          <w:rFonts w:ascii="Times New Roman" w:hAnsi="Times New Roman"/>
          <w:i/>
        </w:rPr>
        <w:t>H</w:t>
      </w:r>
      <w:r>
        <w:rPr>
          <w:rFonts w:ascii="Times New Roman" w:hAnsi="Times New Roman"/>
          <w:i/>
        </w:rPr>
        <w:t>.</w:t>
      </w:r>
      <w:r w:rsidRPr="00C32966">
        <w:rPr>
          <w:rFonts w:ascii="Times New Roman" w:hAnsi="Times New Roman"/>
          <w:i/>
        </w:rPr>
        <w:t xml:space="preserve"> pylori</w:t>
      </w:r>
      <w:r w:rsidRPr="00C32966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 xml:space="preserve">. De otra parte, la gastritis atrófica lleva a destrucción de las células parietales gástricas, las cuales producen ácido clorhídrico y factor intrínseco, este último es una glicoproteína necesaria que permite la absorción de la </w:t>
      </w:r>
      <w:proofErr w:type="spellStart"/>
      <w:r w:rsidRPr="009510C3">
        <w:rPr>
          <w:rFonts w:ascii="Times New Roman" w:hAnsi="Times New Roman"/>
          <w:bCs/>
        </w:rPr>
        <w:t>Cbl</w:t>
      </w:r>
      <w:proofErr w:type="spellEnd"/>
      <w:r>
        <w:rPr>
          <w:rFonts w:ascii="Times New Roman" w:hAnsi="Times New Roman"/>
        </w:rPr>
        <w:t xml:space="preserve"> a nivel del íleon terminal. Se encontraron en la paciente tanto gastritis atrófica como presencia del </w:t>
      </w:r>
      <w:r>
        <w:rPr>
          <w:rFonts w:ascii="Times New Roman" w:hAnsi="Times New Roman"/>
          <w:i/>
        </w:rPr>
        <w:t>H.</w:t>
      </w:r>
      <w:r w:rsidRPr="00C32966">
        <w:rPr>
          <w:rFonts w:ascii="Times New Roman" w:hAnsi="Times New Roman"/>
          <w:i/>
        </w:rPr>
        <w:t xml:space="preserve"> pylori</w:t>
      </w:r>
      <w:r>
        <w:rPr>
          <w:rFonts w:ascii="Times New Roman" w:hAnsi="Times New Roman"/>
        </w:rPr>
        <w:t xml:space="preserve"> y probablemente explican la etiología del déficit de </w:t>
      </w:r>
      <w:proofErr w:type="spellStart"/>
      <w:r w:rsidRPr="009510C3">
        <w:rPr>
          <w:rFonts w:ascii="Times New Roman" w:hAnsi="Times New Roman"/>
          <w:bCs/>
        </w:rPr>
        <w:t>Cbl</w:t>
      </w:r>
      <w:r>
        <w:rPr>
          <w:rFonts w:ascii="Times New Roman" w:hAnsi="Times New Roman"/>
          <w:bCs/>
        </w:rPr>
        <w:t>.</w:t>
      </w:r>
      <w:proofErr w:type="spellEnd"/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Dentro de las causas de la deficiencia de B12 en ancianos se incluyen inadecuada ingesta observada en personas vegetarianas, </w:t>
      </w:r>
      <w:proofErr w:type="spellStart"/>
      <w:r>
        <w:rPr>
          <w:rFonts w:ascii="Times New Roman" w:hAnsi="Times New Roman"/>
        </w:rPr>
        <w:t>malabsorción</w:t>
      </w:r>
      <w:proofErr w:type="spellEnd"/>
      <w:r>
        <w:rPr>
          <w:rFonts w:ascii="Times New Roman" w:hAnsi="Times New Roman"/>
        </w:rPr>
        <w:t xml:space="preserve"> por alteraciones gastrointestinales como gastritis atrófica que ocasiona hipoclorhidria, antecedente de gastrectomía o resección </w:t>
      </w:r>
      <w:proofErr w:type="spellStart"/>
      <w:r>
        <w:rPr>
          <w:rFonts w:ascii="Times New Roman" w:hAnsi="Times New Roman"/>
        </w:rPr>
        <w:t>ileal</w:t>
      </w:r>
      <w:proofErr w:type="spellEnd"/>
      <w:r>
        <w:rPr>
          <w:rFonts w:ascii="Times New Roman" w:hAnsi="Times New Roman"/>
        </w:rPr>
        <w:t xml:space="preserve">, cirugía bariátrica, enfermedad de </w:t>
      </w:r>
      <w:proofErr w:type="spellStart"/>
      <w:r>
        <w:rPr>
          <w:rFonts w:ascii="Times New Roman" w:hAnsi="Times New Roman"/>
        </w:rPr>
        <w:t>Crohn</w:t>
      </w:r>
      <w:proofErr w:type="spellEnd"/>
      <w:r>
        <w:rPr>
          <w:rFonts w:ascii="Times New Roman" w:hAnsi="Times New Roman"/>
        </w:rPr>
        <w:t xml:space="preserve"> y síndrome de </w:t>
      </w:r>
      <w:proofErr w:type="spellStart"/>
      <w:r>
        <w:rPr>
          <w:rFonts w:ascii="Times New Roman" w:hAnsi="Times New Roman"/>
        </w:rPr>
        <w:t>malabsorción</w:t>
      </w:r>
      <w:proofErr w:type="spellEnd"/>
      <w:r>
        <w:rPr>
          <w:rFonts w:ascii="Times New Roman" w:hAnsi="Times New Roman"/>
        </w:rPr>
        <w:t xml:space="preserve"> intestinal</w:t>
      </w:r>
      <w:r w:rsidRPr="00EF5518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. 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 w:rsidRPr="007F454B">
        <w:rPr>
          <w:rFonts w:ascii="Times New Roman" w:hAnsi="Times New Roman"/>
          <w:highlight w:val="yellow"/>
        </w:rPr>
        <w:t xml:space="preserve">El síndrome de </w:t>
      </w:r>
      <w:proofErr w:type="spellStart"/>
      <w:r w:rsidRPr="007F454B">
        <w:rPr>
          <w:rFonts w:ascii="Times New Roman" w:hAnsi="Times New Roman"/>
          <w:highlight w:val="yellow"/>
        </w:rPr>
        <w:t>malabsorción</w:t>
      </w:r>
      <w:proofErr w:type="spellEnd"/>
      <w:r w:rsidRPr="007F454B">
        <w:rPr>
          <w:rFonts w:ascii="Times New Roman" w:hAnsi="Times New Roman"/>
          <w:highlight w:val="yellow"/>
        </w:rPr>
        <w:t xml:space="preserve"> intestinal tiene especial importancia ya que explica entre 60% y 70% de los casos de déficit de vitamina B12 en AM</w:t>
      </w:r>
      <w:r w:rsidRPr="007F454B">
        <w:rPr>
          <w:rFonts w:ascii="Times New Roman" w:hAnsi="Times New Roman"/>
          <w:color w:val="000000"/>
          <w:highlight w:val="yellow"/>
          <w:vertAlign w:val="superscript"/>
        </w:rPr>
        <w:t>7</w:t>
      </w:r>
      <w:r w:rsidRPr="007F454B">
        <w:rPr>
          <w:rFonts w:ascii="Times New Roman" w:hAnsi="Times New Roman"/>
          <w:highlight w:val="yellow"/>
        </w:rPr>
        <w:t>.</w:t>
      </w:r>
      <w:r>
        <w:rPr>
          <w:rFonts w:ascii="Times New Roman" w:hAnsi="Times New Roman"/>
        </w:rPr>
        <w:t xml:space="preserve"> Se produce por </w:t>
      </w:r>
      <w:proofErr w:type="spellStart"/>
      <w:r>
        <w:rPr>
          <w:rFonts w:ascii="Times New Roman" w:hAnsi="Times New Roman"/>
        </w:rPr>
        <w:t>sobrecrecimiento</w:t>
      </w:r>
      <w:proofErr w:type="spellEnd"/>
      <w:r>
        <w:rPr>
          <w:rFonts w:ascii="Times New Roman" w:hAnsi="Times New Roman"/>
        </w:rPr>
        <w:t xml:space="preserve"> bacteriano, el cual se encuentra favorecido por la aclorhidria frecuente en AM, disminución en la motilidad intestinal, insuficiencia pancreática exocrina y empleo de antiácidos, los cuales ocasionan una disminución en la capacidad para liberar la vitamina B12 unida a los alimentos o proteínas.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Otras causas de déficit de B12 son enfermedades autoinmunes como diabetes mellitus y enfermedades tiroideas, consumo de medicamentos en especial los </w:t>
      </w:r>
      <w:r>
        <w:rPr>
          <w:rFonts w:ascii="Times New Roman" w:hAnsi="Times New Roman"/>
        </w:rPr>
        <w:lastRenderedPageBreak/>
        <w:t xml:space="preserve">inhibidores de bomba de protones, </w:t>
      </w:r>
      <w:proofErr w:type="spellStart"/>
      <w:r>
        <w:rPr>
          <w:rFonts w:ascii="Times New Roman" w:hAnsi="Times New Roman"/>
        </w:rPr>
        <w:t>fenitoina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biguanidas</w:t>
      </w:r>
      <w:proofErr w:type="spellEnd"/>
      <w:r>
        <w:rPr>
          <w:rFonts w:ascii="Times New Roman" w:hAnsi="Times New Roman"/>
        </w:rPr>
        <w:t xml:space="preserve"> y aspirina, también exposición a gases anestésicos como el óxido nitroso y consumo crónico de alcohol</w:t>
      </w:r>
      <w:r w:rsidRPr="00075F59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otra parte la deficiencia de </w:t>
      </w:r>
      <w:proofErr w:type="spellStart"/>
      <w:r w:rsidRPr="009510C3">
        <w:rPr>
          <w:rFonts w:ascii="Times New Roman" w:hAnsi="Times New Roman"/>
          <w:bCs/>
        </w:rPr>
        <w:t>Cbl</w:t>
      </w:r>
      <w:proofErr w:type="spellEnd"/>
      <w:r>
        <w:rPr>
          <w:rFonts w:ascii="Times New Roman" w:hAnsi="Times New Roman"/>
        </w:rPr>
        <w:t xml:space="preserve"> puede tener manifestaciones clínicas complejas producto del compromiso en múltiples sistemas orgánicos y estar asociada con el desarrollo de diferentes síndromes geriátricos (Cuadro 2).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Dentro de la sintomatología hematológica los pacientes pueden debutar con </w:t>
      </w:r>
      <w:proofErr w:type="spellStart"/>
      <w:r>
        <w:rPr>
          <w:rFonts w:ascii="Times New Roman" w:hAnsi="Times New Roman"/>
        </w:rPr>
        <w:t>pancitopenia</w:t>
      </w:r>
      <w:proofErr w:type="spellEnd"/>
      <w:r>
        <w:rPr>
          <w:rFonts w:ascii="Times New Roman" w:hAnsi="Times New Roman"/>
        </w:rPr>
        <w:t xml:space="preserve">, a pesar que algunos pueden no desarrollar anemia ni </w:t>
      </w:r>
      <w:proofErr w:type="spellStart"/>
      <w:r>
        <w:rPr>
          <w:rFonts w:ascii="Times New Roman" w:hAnsi="Times New Roman"/>
        </w:rPr>
        <w:t>macrocitosis</w:t>
      </w:r>
      <w:proofErr w:type="spellEnd"/>
      <w:r>
        <w:rPr>
          <w:rFonts w:ascii="Times New Roman" w:hAnsi="Times New Roman"/>
        </w:rPr>
        <w:t xml:space="preserve">; sin embargo, la presentación más frecuente es la anemia macrocítica como lo presentó la paciente. 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 w:rsidRPr="0086093E">
        <w:rPr>
          <w:rFonts w:ascii="Times New Roman" w:hAnsi="Times New Roman"/>
        </w:rPr>
        <w:t>Con respecto a los síntomas neurológicos, estos varían según la estructura afectada, pudiendo ser nervio periférico, m</w:t>
      </w:r>
      <w:r>
        <w:rPr>
          <w:rFonts w:ascii="Times New Roman" w:hAnsi="Times New Roman"/>
        </w:rPr>
        <w:t>é</w:t>
      </w:r>
      <w:r w:rsidRPr="0086093E">
        <w:rPr>
          <w:rFonts w:ascii="Times New Roman" w:hAnsi="Times New Roman"/>
        </w:rPr>
        <w:t>dula espinal, cerebro y nervios ópticos, los cuales se desarrollan durante un per</w:t>
      </w:r>
      <w:r>
        <w:rPr>
          <w:rFonts w:ascii="Times New Roman" w:hAnsi="Times New Roman"/>
        </w:rPr>
        <w:t>í</w:t>
      </w:r>
      <w:r w:rsidRPr="0086093E">
        <w:rPr>
          <w:rFonts w:ascii="Times New Roman" w:hAnsi="Times New Roman"/>
        </w:rPr>
        <w:t>odo de varios meses</w:t>
      </w:r>
      <w:r w:rsidRPr="007F0432">
        <w:rPr>
          <w:rFonts w:ascii="Times New Roman" w:hAnsi="Times New Roman"/>
          <w:vertAlign w:val="superscript"/>
        </w:rPr>
        <w:t>8</w:t>
      </w:r>
      <w:r w:rsidRPr="0086093E">
        <w:rPr>
          <w:rFonts w:ascii="Times New Roman" w:hAnsi="Times New Roman"/>
        </w:rPr>
        <w:t xml:space="preserve">. La severidad de las manifestaciones neurológicas se correlaciona de manera directa con la duración de los síntomas </w:t>
      </w:r>
      <w:r>
        <w:rPr>
          <w:rFonts w:ascii="Times New Roman" w:hAnsi="Times New Roman"/>
        </w:rPr>
        <w:t>y de manera</w:t>
      </w:r>
      <w:r w:rsidRPr="0086093E">
        <w:rPr>
          <w:rFonts w:ascii="Times New Roman" w:hAnsi="Times New Roman"/>
        </w:rPr>
        <w:t xml:space="preserve"> inversa con el valor de la hemoglobina.</w:t>
      </w:r>
    </w:p>
    <w:p w:rsidR="00106B38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231F20"/>
        </w:rPr>
      </w:pPr>
      <w:r w:rsidRPr="0086093E">
        <w:rPr>
          <w:color w:val="231F20"/>
        </w:rPr>
        <w:t>La neuropatía periférica</w:t>
      </w:r>
      <w:r w:rsidRPr="009F61C9">
        <w:rPr>
          <w:color w:val="231F20"/>
        </w:rPr>
        <w:t xml:space="preserve"> </w:t>
      </w:r>
      <w:r>
        <w:rPr>
          <w:color w:val="231F20"/>
        </w:rPr>
        <w:t>es</w:t>
      </w:r>
      <w:r w:rsidRPr="009F61C9">
        <w:rPr>
          <w:color w:val="231F20"/>
        </w:rPr>
        <w:t xml:space="preserve"> la manifestación</w:t>
      </w:r>
      <w:r>
        <w:rPr>
          <w:color w:val="231F20"/>
        </w:rPr>
        <w:t xml:space="preserve"> neurológica </w:t>
      </w:r>
      <w:r w:rsidRPr="009F61C9">
        <w:rPr>
          <w:color w:val="231F20"/>
        </w:rPr>
        <w:t xml:space="preserve">más </w:t>
      </w:r>
      <w:r>
        <w:rPr>
          <w:color w:val="231F20"/>
        </w:rPr>
        <w:t>frecuente, se presenta</w:t>
      </w:r>
      <w:r w:rsidRPr="009F61C9">
        <w:rPr>
          <w:color w:val="231F20"/>
        </w:rPr>
        <w:t xml:space="preserve"> con parestesias y adormecimiento</w:t>
      </w:r>
      <w:r>
        <w:rPr>
          <w:color w:val="231F20"/>
        </w:rPr>
        <w:t xml:space="preserve"> </w:t>
      </w:r>
      <w:r w:rsidRPr="009F61C9">
        <w:rPr>
          <w:color w:val="231F20"/>
        </w:rPr>
        <w:t>en pies y piernas</w:t>
      </w:r>
      <w:r>
        <w:rPr>
          <w:color w:val="231F20"/>
        </w:rPr>
        <w:t>,</w:t>
      </w:r>
      <w:r w:rsidRPr="009F61C9">
        <w:rPr>
          <w:color w:val="231F20"/>
        </w:rPr>
        <w:t xml:space="preserve"> acompañados</w:t>
      </w:r>
      <w:r>
        <w:rPr>
          <w:color w:val="231F20"/>
        </w:rPr>
        <w:t xml:space="preserve"> de</w:t>
      </w:r>
      <w:r w:rsidRPr="009F61C9">
        <w:rPr>
          <w:color w:val="231F20"/>
        </w:rPr>
        <w:t xml:space="preserve"> </w:t>
      </w:r>
      <w:proofErr w:type="spellStart"/>
      <w:r>
        <w:rPr>
          <w:color w:val="231F20"/>
        </w:rPr>
        <w:t>hiporreflexia</w:t>
      </w:r>
      <w:proofErr w:type="spellEnd"/>
      <w:r w:rsidRPr="009F61C9">
        <w:rPr>
          <w:color w:val="231F20"/>
        </w:rPr>
        <w:t>, alteración en la sensibilidad</w:t>
      </w:r>
      <w:r>
        <w:rPr>
          <w:color w:val="231F20"/>
        </w:rPr>
        <w:t xml:space="preserve"> </w:t>
      </w:r>
      <w:r w:rsidRPr="009F61C9">
        <w:rPr>
          <w:color w:val="231F20"/>
        </w:rPr>
        <w:t>superficial con una distribución en bota y compromiso de la</w:t>
      </w:r>
      <w:r>
        <w:rPr>
          <w:color w:val="231F20"/>
        </w:rPr>
        <w:t xml:space="preserve"> </w:t>
      </w:r>
      <w:r w:rsidRPr="009F61C9">
        <w:rPr>
          <w:color w:val="231F20"/>
        </w:rPr>
        <w:t xml:space="preserve">sensibilidad vibratoria; </w:t>
      </w:r>
      <w:r>
        <w:rPr>
          <w:color w:val="231F20"/>
        </w:rPr>
        <w:t xml:space="preserve">luego se desarrolla de forma </w:t>
      </w:r>
      <w:r w:rsidRPr="009F61C9">
        <w:rPr>
          <w:color w:val="231F20"/>
        </w:rPr>
        <w:t>similar</w:t>
      </w:r>
      <w:r>
        <w:rPr>
          <w:color w:val="231F20"/>
        </w:rPr>
        <w:t xml:space="preserve"> </w:t>
      </w:r>
      <w:r w:rsidRPr="009F61C9">
        <w:rPr>
          <w:color w:val="231F20"/>
        </w:rPr>
        <w:t>en manos, junto con debilidad distal de miembros</w:t>
      </w:r>
      <w:r>
        <w:rPr>
          <w:color w:val="231F20"/>
        </w:rPr>
        <w:t xml:space="preserve"> </w:t>
      </w:r>
      <w:r w:rsidRPr="009F61C9">
        <w:rPr>
          <w:color w:val="231F20"/>
        </w:rPr>
        <w:t>inferiores</w:t>
      </w:r>
      <w:r>
        <w:rPr>
          <w:color w:val="231F20"/>
        </w:rPr>
        <w:t>, similar al caso presentado</w:t>
      </w:r>
      <w:r w:rsidRPr="007F0432">
        <w:rPr>
          <w:color w:val="231F20"/>
          <w:vertAlign w:val="superscript"/>
        </w:rPr>
        <w:t>1</w:t>
      </w:r>
      <w:r w:rsidRPr="009F61C9">
        <w:rPr>
          <w:color w:val="231F20"/>
        </w:rPr>
        <w:t xml:space="preserve">. </w:t>
      </w:r>
    </w:p>
    <w:p w:rsidR="00106B38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A40F4">
        <w:t>La mielopatía</w:t>
      </w:r>
      <w:r>
        <w:t xml:space="preserve"> </w:t>
      </w:r>
      <w:r w:rsidRPr="009F61C9">
        <w:t>secundari</w:t>
      </w:r>
      <w:r>
        <w:t xml:space="preserve">a </w:t>
      </w:r>
      <w:r w:rsidRPr="008A40F4">
        <w:t xml:space="preserve">a </w:t>
      </w:r>
      <w:r w:rsidRPr="009F61C9">
        <w:t xml:space="preserve">déficit de </w:t>
      </w:r>
      <w:proofErr w:type="spellStart"/>
      <w:r>
        <w:t>Cbl</w:t>
      </w:r>
      <w:proofErr w:type="spellEnd"/>
      <w:r>
        <w:t>, s</w:t>
      </w:r>
      <w:r w:rsidRPr="009F61C9">
        <w:t>e denomina degeneración combinada sub</w:t>
      </w:r>
      <w:r>
        <w:t>-</w:t>
      </w:r>
      <w:r w:rsidRPr="009F61C9">
        <w:t>aguda de la medula</w:t>
      </w:r>
      <w:r>
        <w:t>, la cual fue una de las manifestaciones cardinales del caso descrito junto con la anemia macrocítica</w:t>
      </w:r>
      <w:r w:rsidRPr="009F61C9">
        <w:t>. Se caracteriza por compromiso medular que afecta el tracto espinotalámico posterior y lateral, que al inicio se presenta a nivel de columna cervical inferior y torácica superior</w:t>
      </w:r>
      <w:r w:rsidRPr="008D1403">
        <w:t xml:space="preserve"> </w:t>
      </w:r>
      <w:r>
        <w:t xml:space="preserve">y </w:t>
      </w:r>
      <w:r w:rsidRPr="008D1403">
        <w:t>avanzan en dirección caudal y craneal, así como hacia</w:t>
      </w:r>
      <w:r>
        <w:t xml:space="preserve"> </w:t>
      </w:r>
      <w:r w:rsidRPr="008D1403">
        <w:t>delante, invadiendo las columnas laterales y anteriores</w:t>
      </w:r>
      <w:r w:rsidRPr="007F0432">
        <w:rPr>
          <w:vertAlign w:val="superscript"/>
        </w:rPr>
        <w:t>8</w:t>
      </w:r>
      <w:r>
        <w:t xml:space="preserve">. </w:t>
      </w:r>
    </w:p>
    <w:p w:rsidR="00106B38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 xml:space="preserve">Las manifestaciones clínicas son dadas por </w:t>
      </w:r>
      <w:r w:rsidRPr="00F40112">
        <w:t>trastornos</w:t>
      </w:r>
      <w:r>
        <w:t xml:space="preserve"> </w:t>
      </w:r>
      <w:r w:rsidRPr="00F40112">
        <w:t xml:space="preserve">en la sensibilidad profunda a nivel de miembros inferiores con </w:t>
      </w:r>
      <w:proofErr w:type="spellStart"/>
      <w:r w:rsidRPr="00F40112">
        <w:t>hipoestesia</w:t>
      </w:r>
      <w:proofErr w:type="spellEnd"/>
      <w:r w:rsidRPr="00F40112">
        <w:t>, parestesias</w:t>
      </w:r>
      <w:r>
        <w:t xml:space="preserve">, </w:t>
      </w:r>
      <w:proofErr w:type="spellStart"/>
      <w:r>
        <w:t>propiocepción</w:t>
      </w:r>
      <w:proofErr w:type="spellEnd"/>
      <w:r>
        <w:t xml:space="preserve"> disminuida e inestabilidad para la marcha con base de sustentación amplia por ataxia sensorial, los cuales se presentan de forma </w:t>
      </w:r>
      <w:r w:rsidRPr="008D1403">
        <w:t>simétrica</w:t>
      </w:r>
      <w:r w:rsidRPr="00ED3EF9">
        <w:rPr>
          <w:vertAlign w:val="superscript"/>
        </w:rPr>
        <w:t>7</w:t>
      </w:r>
      <w:r w:rsidRPr="008D1403">
        <w:t xml:space="preserve">. En </w:t>
      </w:r>
      <w:proofErr w:type="spellStart"/>
      <w:r w:rsidRPr="008D1403">
        <w:t>estad</w:t>
      </w:r>
      <w:r>
        <w:t>í</w:t>
      </w:r>
      <w:r w:rsidRPr="008D1403">
        <w:t>os</w:t>
      </w:r>
      <w:proofErr w:type="spellEnd"/>
      <w:r w:rsidRPr="008D1403">
        <w:t xml:space="preserve"> avanzados puede </w:t>
      </w:r>
      <w:r>
        <w:t>desarrollarse</w:t>
      </w:r>
      <w:r w:rsidRPr="008D1403">
        <w:t xml:space="preserve"> </w:t>
      </w:r>
      <w:proofErr w:type="spellStart"/>
      <w:r w:rsidRPr="008D1403">
        <w:t>tetraparesia</w:t>
      </w:r>
      <w:proofErr w:type="spellEnd"/>
      <w:r w:rsidRPr="008D1403">
        <w:t xml:space="preserve"> o </w:t>
      </w:r>
      <w:proofErr w:type="spellStart"/>
      <w:r w:rsidRPr="008D1403">
        <w:t>paraparesia</w:t>
      </w:r>
      <w:proofErr w:type="spellEnd"/>
      <w:r w:rsidRPr="008D1403">
        <w:t xml:space="preserve"> espática y contracturas</w:t>
      </w:r>
      <w:r w:rsidRPr="007B150B">
        <w:rPr>
          <w:vertAlign w:val="superscript"/>
        </w:rPr>
        <w:t>6</w:t>
      </w:r>
      <w:r w:rsidRPr="008D1403">
        <w:t>.</w:t>
      </w:r>
      <w:r>
        <w:t xml:space="preserve"> </w:t>
      </w:r>
    </w:p>
    <w:p w:rsidR="00106B38" w:rsidRPr="008D1403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 xml:space="preserve">El compromiso medular por </w:t>
      </w:r>
      <w:r w:rsidRPr="009F61C9">
        <w:t xml:space="preserve">déficit de </w:t>
      </w:r>
      <w:proofErr w:type="spellStart"/>
      <w:r>
        <w:t>Cbl</w:t>
      </w:r>
      <w:proofErr w:type="spellEnd"/>
      <w:r>
        <w:t xml:space="preserve"> se encuentra asociado con presencia diferentes síndromes geriátricos como m</w:t>
      </w:r>
      <w:proofErr w:type="spellStart"/>
      <w:r w:rsidRPr="00227527">
        <w:rPr>
          <w:lang w:val="es-MX"/>
        </w:rPr>
        <w:t>areo</w:t>
      </w:r>
      <w:proofErr w:type="spellEnd"/>
      <w:r>
        <w:rPr>
          <w:lang w:val="es-MX"/>
        </w:rPr>
        <w:t xml:space="preserve"> y síncope, estos dos a su vez relacionados con </w:t>
      </w:r>
      <w:r w:rsidRPr="00227527">
        <w:rPr>
          <w:lang w:val="es-MX"/>
        </w:rPr>
        <w:t xml:space="preserve">caídas, </w:t>
      </w:r>
      <w:r>
        <w:rPr>
          <w:lang w:val="es-MX"/>
        </w:rPr>
        <w:t xml:space="preserve">miedo a caer, </w:t>
      </w:r>
      <w:r w:rsidRPr="00227527">
        <w:rPr>
          <w:lang w:val="es-MX"/>
        </w:rPr>
        <w:t>fragilidad</w:t>
      </w:r>
      <w:r>
        <w:rPr>
          <w:lang w:val="es-MX"/>
        </w:rPr>
        <w:t xml:space="preserve"> y falla para prosperar</w:t>
      </w:r>
      <w:r w:rsidRPr="007B150B">
        <w:rPr>
          <w:vertAlign w:val="superscript"/>
          <w:lang w:val="es-MX"/>
        </w:rPr>
        <w:t>2</w:t>
      </w:r>
      <w:r>
        <w:rPr>
          <w:lang w:val="es-MX"/>
        </w:rPr>
        <w:t xml:space="preserve">. Con respecto al caso presentado, la paciente desarrolló una marcha con características de ataxia sensorial, </w:t>
      </w:r>
      <w:r>
        <w:rPr>
          <w:lang w:val="es-MX"/>
        </w:rPr>
        <w:lastRenderedPageBreak/>
        <w:t xml:space="preserve">que le ocasionó un síndrome de caídas y miedo a caer, con la posterior restricción en sus actividades </w:t>
      </w:r>
      <w:r w:rsidRPr="002640FC">
        <w:t>de la vida diaria</w:t>
      </w:r>
      <w:r>
        <w:rPr>
          <w:lang w:val="es-MX"/>
        </w:rPr>
        <w:t xml:space="preserve">, llevando a fragilidad y por último declinación funcional con dependencia severa según la </w:t>
      </w:r>
      <w:r w:rsidRPr="002640FC">
        <w:t>escala de Bar</w:t>
      </w:r>
      <w:r w:rsidRPr="002640FC">
        <w:rPr>
          <w:bCs/>
        </w:rPr>
        <w:t>thel</w:t>
      </w:r>
      <w:r>
        <w:rPr>
          <w:lang w:val="es-MX"/>
        </w:rPr>
        <w:t xml:space="preserve">. </w:t>
      </w:r>
    </w:p>
    <w:p w:rsidR="00106B38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D1403">
        <w:t>Cuando los segmentos</w:t>
      </w:r>
      <w:r w:rsidRPr="00F40112">
        <w:t xml:space="preserve"> cervical</w:t>
      </w:r>
      <w:r>
        <w:t>es</w:t>
      </w:r>
      <w:r w:rsidRPr="00F40112">
        <w:t xml:space="preserve"> resulta</w:t>
      </w:r>
      <w:r>
        <w:t>n</w:t>
      </w:r>
      <w:r w:rsidRPr="00F40112">
        <w:t xml:space="preserve"> </w:t>
      </w:r>
      <w:r w:rsidRPr="00216D92">
        <w:t xml:space="preserve">afectados, se observa sintomatología equivalente en los miembros superiores, </w:t>
      </w:r>
      <w:r>
        <w:t xml:space="preserve">y </w:t>
      </w:r>
      <w:r w:rsidRPr="00216D92">
        <w:t xml:space="preserve">con presencia </w:t>
      </w:r>
      <w:r>
        <w:t xml:space="preserve">característica </w:t>
      </w:r>
      <w:r w:rsidRPr="00216D92">
        <w:t xml:space="preserve">del </w:t>
      </w:r>
      <w:r>
        <w:t xml:space="preserve">signo de Lhermitte, manifestado por la paciente. Este signo es desencadenado </w:t>
      </w:r>
      <w:r w:rsidRPr="00216D92">
        <w:t>por la flexión del cuello</w:t>
      </w:r>
      <w:r>
        <w:t xml:space="preserve">, </w:t>
      </w:r>
      <w:r w:rsidRPr="00216D92">
        <w:t>caracteriza</w:t>
      </w:r>
      <w:r>
        <w:t>do</w:t>
      </w:r>
      <w:r w:rsidRPr="00216D92">
        <w:t xml:space="preserve"> por sensación eléctrica a lo largo del raquis</w:t>
      </w:r>
      <w:r>
        <w:t xml:space="preserve">, y se considera </w:t>
      </w:r>
      <w:r w:rsidRPr="00216D92">
        <w:rPr>
          <w:color w:val="292526"/>
        </w:rPr>
        <w:t xml:space="preserve">un </w:t>
      </w:r>
      <w:r>
        <w:rPr>
          <w:color w:val="292526"/>
        </w:rPr>
        <w:t>indicador</w:t>
      </w:r>
      <w:r w:rsidRPr="00216D92">
        <w:rPr>
          <w:color w:val="292526"/>
        </w:rPr>
        <w:t xml:space="preserve"> de</w:t>
      </w:r>
      <w:r>
        <w:rPr>
          <w:color w:val="292526"/>
        </w:rPr>
        <w:t xml:space="preserve"> </w:t>
      </w:r>
      <w:proofErr w:type="spellStart"/>
      <w:r w:rsidRPr="00216D92">
        <w:rPr>
          <w:color w:val="292526"/>
        </w:rPr>
        <w:t>desmielinización</w:t>
      </w:r>
      <w:proofErr w:type="spellEnd"/>
      <w:r w:rsidRPr="00216D92">
        <w:rPr>
          <w:color w:val="292526"/>
        </w:rPr>
        <w:t xml:space="preserve"> de los cordones posteriores de la</w:t>
      </w:r>
      <w:r>
        <w:rPr>
          <w:color w:val="292526"/>
        </w:rPr>
        <w:t xml:space="preserve"> </w:t>
      </w:r>
      <w:r w:rsidRPr="00216D92">
        <w:rPr>
          <w:color w:val="292526"/>
        </w:rPr>
        <w:t>médula</w:t>
      </w:r>
      <w:r w:rsidRPr="00AE3F13">
        <w:rPr>
          <w:color w:val="292526"/>
          <w:vertAlign w:val="superscript"/>
        </w:rPr>
        <w:t>7</w:t>
      </w:r>
      <w:r>
        <w:t>.</w:t>
      </w:r>
    </w:p>
    <w:p w:rsidR="00106B38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 xml:space="preserve">Los hallazgos </w:t>
      </w:r>
      <w:proofErr w:type="spellStart"/>
      <w:r>
        <w:t>neuropatológicos</w:t>
      </w:r>
      <w:proofErr w:type="spellEnd"/>
      <w:r>
        <w:t xml:space="preserve"> en la degeneración combinada </w:t>
      </w:r>
      <w:proofErr w:type="spellStart"/>
      <w:r>
        <w:t>subaguda</w:t>
      </w:r>
      <w:proofErr w:type="spellEnd"/>
      <w:r>
        <w:t xml:space="preserve"> de la médula son dados por </w:t>
      </w:r>
      <w:r w:rsidRPr="008D1403">
        <w:t>degeneración de las vainas de</w:t>
      </w:r>
      <w:r>
        <w:t xml:space="preserve"> </w:t>
      </w:r>
      <w:r w:rsidRPr="008D1403">
        <w:t xml:space="preserve">mielina, </w:t>
      </w:r>
      <w:r>
        <w:t>con</w:t>
      </w:r>
      <w:r w:rsidRPr="008D1403">
        <w:t xml:space="preserve"> formación de vacuolas</w:t>
      </w:r>
      <w:r>
        <w:t xml:space="preserve"> </w:t>
      </w:r>
      <w:proofErr w:type="spellStart"/>
      <w:r w:rsidRPr="008D1403">
        <w:t>intramielínicas</w:t>
      </w:r>
      <w:proofErr w:type="spellEnd"/>
      <w:r w:rsidRPr="008D1403">
        <w:t xml:space="preserve"> y separación de las láminas de mielina</w:t>
      </w:r>
      <w:r>
        <w:t xml:space="preserve">. Se produce una </w:t>
      </w:r>
      <w:proofErr w:type="spellStart"/>
      <w:r>
        <w:t>desmielinización</w:t>
      </w:r>
      <w:proofErr w:type="spellEnd"/>
      <w:r>
        <w:t xml:space="preserve"> espongiforme en placas </w:t>
      </w:r>
      <w:r w:rsidRPr="005C717B">
        <w:t xml:space="preserve">diseminadas que inician a nivel de las columnas </w:t>
      </w:r>
      <w:r w:rsidRPr="00C902A7">
        <w:t>posterior y lateral de la m</w:t>
      </w:r>
      <w:r>
        <w:t>é</w:t>
      </w:r>
      <w:r w:rsidRPr="00C902A7">
        <w:t xml:space="preserve">dula espinal cervical y torácica, </w:t>
      </w:r>
      <w:r>
        <w:t xml:space="preserve">que </w:t>
      </w:r>
      <w:r w:rsidRPr="00C902A7">
        <w:t>en ocasiones puede afectar las columnas anteriores con d</w:t>
      </w:r>
      <w:r>
        <w:t xml:space="preserve">egeneración </w:t>
      </w:r>
      <w:proofErr w:type="spellStart"/>
      <w:r w:rsidRPr="00C902A7">
        <w:t>axonal</w:t>
      </w:r>
      <w:proofErr w:type="spellEnd"/>
      <w:r w:rsidRPr="00C902A7">
        <w:t xml:space="preserve"> y </w:t>
      </w:r>
      <w:proofErr w:type="spellStart"/>
      <w:r>
        <w:t>gliosis</w:t>
      </w:r>
      <w:proofErr w:type="spellEnd"/>
      <w:r>
        <w:t xml:space="preserve"> en </w:t>
      </w:r>
      <w:proofErr w:type="spellStart"/>
      <w:r>
        <w:t>estadíos</w:t>
      </w:r>
      <w:proofErr w:type="spellEnd"/>
      <w:r>
        <w:t xml:space="preserve"> avanzados de </w:t>
      </w:r>
      <w:r w:rsidRPr="008D1403">
        <w:t>la enfermedad</w:t>
      </w:r>
      <w:r w:rsidRPr="00AE3F13">
        <w:rPr>
          <w:vertAlign w:val="superscript"/>
        </w:rPr>
        <w:t>8</w:t>
      </w:r>
      <w:r w:rsidRPr="008D1403">
        <w:t>.</w:t>
      </w:r>
    </w:p>
    <w:p w:rsidR="00106B38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D1403">
        <w:t>Las imágenes</w:t>
      </w:r>
      <w:r>
        <w:t xml:space="preserve"> de resonancia magnética muestran </w:t>
      </w:r>
      <w:proofErr w:type="spellStart"/>
      <w:r w:rsidRPr="00C902A7">
        <w:t>hiperintensidad</w:t>
      </w:r>
      <w:proofErr w:type="spellEnd"/>
      <w:r w:rsidRPr="00C902A7">
        <w:t xml:space="preserve"> focal y simétrica en la mitad posterior del cordón medular visible en secuencia T2</w:t>
      </w:r>
      <w:r>
        <w:t>, explicado por un incremento en el contenido de agua</w:t>
      </w:r>
      <w:r w:rsidRPr="00C902A7">
        <w:t xml:space="preserve"> como se ilustra en</w:t>
      </w:r>
      <w:r w:rsidRPr="005C717B">
        <w:t xml:space="preserve"> la </w:t>
      </w:r>
      <w:r>
        <w:t>F</w:t>
      </w:r>
      <w:r w:rsidRPr="005C717B">
        <w:t>igura 2.</w:t>
      </w:r>
      <w:r>
        <w:t xml:space="preserve"> Los diagnósticos diferenciales para estas lesiones observadas en resonancia magnética incluyen infecciones (tabes dorsal, virus de inmunodeficiencia humana, herpes Zoster), neoplasias (linfoma, mielopatía </w:t>
      </w:r>
      <w:proofErr w:type="spellStart"/>
      <w:r>
        <w:t>paraneoplásica</w:t>
      </w:r>
      <w:proofErr w:type="spellEnd"/>
      <w:r>
        <w:t xml:space="preserve">), vasculares (isquemia arterial o venosa, malformación </w:t>
      </w:r>
      <w:proofErr w:type="spellStart"/>
      <w:r>
        <w:t>arteriovenosa</w:t>
      </w:r>
      <w:proofErr w:type="spellEnd"/>
      <w:r>
        <w:t xml:space="preserve"> de medula espinal), mielitis post-radiación, esclerosis múltiple, mielitis transversa aguda y siringomelia</w:t>
      </w:r>
      <w:r w:rsidRPr="00AE3F13">
        <w:rPr>
          <w:vertAlign w:val="superscript"/>
        </w:rPr>
        <w:t>8</w:t>
      </w:r>
      <w:r>
        <w:t>.</w:t>
      </w:r>
    </w:p>
    <w:p w:rsidR="00106B38" w:rsidRPr="00E73D0C" w:rsidRDefault="00106B38" w:rsidP="00106B38">
      <w:pPr>
        <w:autoSpaceDE w:val="0"/>
        <w:autoSpaceDN w:val="0"/>
        <w:adjustRightInd w:val="0"/>
        <w:spacing w:line="360" w:lineRule="auto"/>
        <w:ind w:firstLine="284"/>
        <w:jc w:val="both"/>
      </w:pPr>
      <w:r>
        <w:t>En lo que respecta a los síntomas psiquiátricos, estos tienen un rango de presentación amplia desde depresión hasta demencia, los cuales hacen parte del síndrome de deterioro cognoscitivo</w:t>
      </w:r>
      <w:r w:rsidRPr="00AE3F13">
        <w:rPr>
          <w:vertAlign w:val="superscript"/>
        </w:rPr>
        <w:t>2</w:t>
      </w:r>
      <w:r>
        <w:t xml:space="preserve">. Se presentan </w:t>
      </w:r>
      <w:r w:rsidRPr="00E73D0C">
        <w:rPr>
          <w:color w:val="231F20"/>
        </w:rPr>
        <w:t>como consecuencia</w:t>
      </w:r>
      <w:r>
        <w:rPr>
          <w:color w:val="231F20"/>
        </w:rPr>
        <w:t xml:space="preserve"> </w:t>
      </w:r>
      <w:r w:rsidRPr="00E73D0C">
        <w:rPr>
          <w:color w:val="231F20"/>
        </w:rPr>
        <w:t>de múltiples focos de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desmielinización</w:t>
      </w:r>
      <w:proofErr w:type="spellEnd"/>
      <w:r>
        <w:rPr>
          <w:color w:val="231F20"/>
        </w:rPr>
        <w:t xml:space="preserve"> a nivel de la </w:t>
      </w:r>
      <w:r w:rsidRPr="00E73D0C">
        <w:rPr>
          <w:color w:val="231F20"/>
        </w:rPr>
        <w:t>sustancia blanca frontal y parietal</w:t>
      </w:r>
      <w:r>
        <w:rPr>
          <w:color w:val="231F20"/>
        </w:rPr>
        <w:t xml:space="preserve"> y cuerpo calloso. </w:t>
      </w:r>
      <w:r w:rsidRPr="00E73D0C">
        <w:rPr>
          <w:color w:val="231F20"/>
        </w:rPr>
        <w:t>La</w:t>
      </w:r>
      <w:r>
        <w:rPr>
          <w:color w:val="231F20"/>
        </w:rPr>
        <w:t xml:space="preserve"> </w:t>
      </w:r>
      <w:r w:rsidRPr="00E73D0C">
        <w:rPr>
          <w:color w:val="231F20"/>
        </w:rPr>
        <w:t xml:space="preserve">sintomatología </w:t>
      </w:r>
      <w:r>
        <w:rPr>
          <w:color w:val="231F20"/>
        </w:rPr>
        <w:t>es variada</w:t>
      </w:r>
      <w:r w:rsidRPr="00E73D0C">
        <w:rPr>
          <w:color w:val="231F20"/>
        </w:rPr>
        <w:t xml:space="preserve"> pudiendo cursar con trastornos del afecto,</w:t>
      </w:r>
      <w:r>
        <w:rPr>
          <w:color w:val="231F20"/>
        </w:rPr>
        <w:t xml:space="preserve"> compromiso en función ejecutiva y memo</w:t>
      </w:r>
      <w:r w:rsidRPr="00E73D0C">
        <w:rPr>
          <w:color w:val="231F20"/>
        </w:rPr>
        <w:t>ria, confusión,</w:t>
      </w:r>
      <w:r>
        <w:rPr>
          <w:color w:val="231F20"/>
        </w:rPr>
        <w:t xml:space="preserve"> </w:t>
      </w:r>
      <w:r w:rsidRPr="00E73D0C">
        <w:rPr>
          <w:color w:val="231F20"/>
        </w:rPr>
        <w:t>agitación, alucinaciones visuales y auditivas</w:t>
      </w:r>
      <w:r>
        <w:rPr>
          <w:color w:val="231F20"/>
        </w:rPr>
        <w:t>.</w:t>
      </w:r>
      <w:r>
        <w:t xml:space="preserve"> No obstante, a pesar que el déficit de B12 se encuentra con frecuencia en AM con demencia o depresión, la </w:t>
      </w:r>
      <w:r w:rsidRPr="00E73D0C">
        <w:t xml:space="preserve">administración de </w:t>
      </w:r>
      <w:proofErr w:type="spellStart"/>
      <w:r>
        <w:t>Cbl</w:t>
      </w:r>
      <w:proofErr w:type="spellEnd"/>
      <w:r w:rsidRPr="00E73D0C">
        <w:t xml:space="preserve"> no ha mostrado mejoría en la función cognoscitiva, en consecuencia no se puede afirmar que dicha carencia vitamínica se comporte como un factor causal</w:t>
      </w:r>
      <w:r w:rsidRPr="00AE3F13">
        <w:rPr>
          <w:vertAlign w:val="superscript"/>
        </w:rPr>
        <w:t>6</w:t>
      </w:r>
      <w:r w:rsidRPr="00E73D0C">
        <w:t xml:space="preserve">. </w:t>
      </w:r>
      <w:r>
        <w:t xml:space="preserve">En efecto, la paciente a pesar de tener déficit de </w:t>
      </w:r>
      <w:proofErr w:type="spellStart"/>
      <w:r>
        <w:t>Cbl</w:t>
      </w:r>
      <w:proofErr w:type="spellEnd"/>
      <w:r>
        <w:t xml:space="preserve">, </w:t>
      </w:r>
      <w:r>
        <w:lastRenderedPageBreak/>
        <w:t>las escalas de valoración no evidenciaron presencia de deterioro en sus funciones cognoscitivas ni depresión.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otro lado, las manifestaciones en mucosas incluyen </w:t>
      </w:r>
      <w:proofErr w:type="spellStart"/>
      <w:r>
        <w:rPr>
          <w:rFonts w:ascii="Times New Roman" w:hAnsi="Times New Roman"/>
        </w:rPr>
        <w:t>glosodinia</w:t>
      </w:r>
      <w:proofErr w:type="spellEnd"/>
      <w:r>
        <w:rPr>
          <w:rFonts w:ascii="Times New Roman" w:hAnsi="Times New Roman"/>
        </w:rPr>
        <w:t xml:space="preserve">, úlceras recurrentes, </w:t>
      </w:r>
      <w:proofErr w:type="spellStart"/>
      <w:r>
        <w:rPr>
          <w:rFonts w:ascii="Times New Roman" w:hAnsi="Times New Roman"/>
        </w:rPr>
        <w:t>disgeusia</w:t>
      </w:r>
      <w:proofErr w:type="spellEnd"/>
      <w:r>
        <w:rPr>
          <w:rFonts w:ascii="Times New Roman" w:hAnsi="Times New Roman"/>
        </w:rPr>
        <w:t>, parestesia lingual, estomatitis y queilitis angular. Sin embargo, la glositis de Hunter es la presentación más frecuente, se encuentra hasta en 25% de los casos y se caracteriza por una lengua de apariencia roja, lisa, atrofia de papilas linguales y con alteraciones del gusto, todo lo anterior estaba presente en la paciente</w:t>
      </w:r>
      <w:r w:rsidRPr="00AE3F13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. Dichas anormalidades pueden llevar al AM desarrollar síndromes nutricionales como desnutrición </w:t>
      </w:r>
      <w:proofErr w:type="spellStart"/>
      <w:r>
        <w:rPr>
          <w:rFonts w:ascii="Times New Roman" w:hAnsi="Times New Roman"/>
        </w:rPr>
        <w:t>proteicocalórica</w:t>
      </w:r>
      <w:proofErr w:type="spellEnd"/>
      <w:r>
        <w:rPr>
          <w:rFonts w:ascii="Times New Roman" w:hAnsi="Times New Roman"/>
        </w:rPr>
        <w:t xml:space="preserve"> y falla para prosperar, como también a potenciar la anorexia del envejecimiento y caquexia</w:t>
      </w:r>
      <w:r w:rsidRPr="00AE3F13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. 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En el caso presentado se hizo evidente que la alteración en mucosas llevó a pérdida de peso no intencionada, característica importante debido a que es una de las principales vías de ingreso para el síndrome de fragilidad, y de igual manera para que se originen diferentes síndromes nutricionales geriatricos</w:t>
      </w:r>
      <w:r w:rsidRPr="00E25F08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. Vale decir que la paciente presentaba un estado de malnutrición según la escala del </w:t>
      </w:r>
      <w:r w:rsidRPr="00FD76CE">
        <w:rPr>
          <w:rFonts w:ascii="Times New Roman" w:hAnsi="Times New Roman"/>
          <w:bCs/>
        </w:rPr>
        <w:t xml:space="preserve">mini </w:t>
      </w:r>
      <w:proofErr w:type="spellStart"/>
      <w:r w:rsidRPr="00FD76CE">
        <w:rPr>
          <w:rFonts w:ascii="Times New Roman" w:hAnsi="Times New Roman"/>
          <w:bCs/>
        </w:rPr>
        <w:t>nutritional</w:t>
      </w:r>
      <w:proofErr w:type="spellEnd"/>
      <w:r w:rsidRPr="00FD76CE">
        <w:rPr>
          <w:rFonts w:ascii="Times New Roman" w:hAnsi="Times New Roman"/>
          <w:bCs/>
        </w:rPr>
        <w:t xml:space="preserve"> </w:t>
      </w:r>
      <w:proofErr w:type="spellStart"/>
      <w:r w:rsidRPr="00FD76CE">
        <w:rPr>
          <w:rFonts w:ascii="Times New Roman" w:hAnsi="Times New Roman"/>
          <w:bCs/>
        </w:rPr>
        <w:t>assessment</w:t>
      </w:r>
      <w:proofErr w:type="spellEnd"/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</w:p>
    <w:p w:rsidR="00106B38" w:rsidRPr="00AE3F13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Finalmente, este caso muestra que el grupo de AM constituye una población vulnerable para desarrollar déficit de vitamina B12. Su alta prevalencia, así como el curso insidioso de síntomas y múltiples manifestaciones clínicas, incluido el desarrollo de síndromes geriátricos, hacen que se convierta en una entidad de importancia en salud pública. </w:t>
      </w:r>
      <w:r w:rsidRPr="00AE3F13">
        <w:rPr>
          <w:rFonts w:ascii="Times New Roman" w:hAnsi="Times New Roman"/>
        </w:rPr>
        <w:t>Por consiguiente</w:t>
      </w:r>
      <w:r>
        <w:rPr>
          <w:rFonts w:ascii="Times New Roman" w:hAnsi="Times New Roman"/>
        </w:rPr>
        <w:t>,</w:t>
      </w:r>
      <w:r w:rsidRPr="00AE3F13">
        <w:rPr>
          <w:rFonts w:ascii="Times New Roman" w:hAnsi="Times New Roman"/>
        </w:rPr>
        <w:t xml:space="preserve"> se deben desarrollar intervenciones que incluyan su tamizaje y diagnóstico, con el objetivo de realizar un tratamiento temprano y oportuno con el fin evitar que sus complicaciones </w:t>
      </w:r>
      <w:r>
        <w:rPr>
          <w:rFonts w:ascii="Times New Roman" w:hAnsi="Times New Roman"/>
        </w:rPr>
        <w:t>se conviertan en</w:t>
      </w:r>
      <w:r w:rsidRPr="00AE3F13">
        <w:rPr>
          <w:rFonts w:ascii="Times New Roman" w:hAnsi="Times New Roman"/>
        </w:rPr>
        <w:t xml:space="preserve"> irreversibles.</w:t>
      </w:r>
    </w:p>
    <w:p w:rsidR="00106B38" w:rsidRDefault="00106B38" w:rsidP="00106B38">
      <w:pPr>
        <w:pStyle w:val="Textoindependiente"/>
        <w:spacing w:line="360" w:lineRule="auto"/>
        <w:ind w:firstLine="284"/>
        <w:rPr>
          <w:rFonts w:ascii="Times New Roman" w:hAnsi="Times New Roman"/>
        </w:rPr>
      </w:pPr>
      <w:r w:rsidRPr="00C932CF">
        <w:rPr>
          <w:rFonts w:ascii="Times New Roman" w:hAnsi="Times New Roman"/>
          <w:b/>
          <w:i/>
        </w:rPr>
        <w:t>Conflicto de interés.</w:t>
      </w:r>
      <w:r>
        <w:rPr>
          <w:rFonts w:ascii="Times New Roman" w:hAnsi="Times New Roman"/>
        </w:rPr>
        <w:t xml:space="preserve"> El autor manifiesta no tener conflicto de interés relacionado con este estudio.</w:t>
      </w:r>
    </w:p>
    <w:p w:rsidR="00106B38" w:rsidRDefault="00106B38" w:rsidP="00106B38">
      <w:pPr>
        <w:pStyle w:val="Textoindependiente"/>
        <w:spacing w:line="360" w:lineRule="auto"/>
        <w:rPr>
          <w:rFonts w:ascii="Times New Roman" w:hAnsi="Times New Roman"/>
        </w:rPr>
      </w:pPr>
    </w:p>
    <w:p w:rsidR="00106B38" w:rsidRDefault="00106B38" w:rsidP="00106B38">
      <w:pPr>
        <w:pStyle w:val="Ttulo7"/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r w:rsidRPr="00106B38">
        <w:rPr>
          <w:rFonts w:ascii="Times New Roman" w:hAnsi="Times New Roman"/>
        </w:rPr>
        <w:br w:type="page"/>
      </w:r>
      <w:r w:rsidRPr="00E7725B">
        <w:rPr>
          <w:rFonts w:ascii="Times New Roman" w:hAnsi="Times New Roman"/>
          <w:lang w:val="en-US"/>
        </w:rPr>
        <w:lastRenderedPageBreak/>
        <w:t>REFERENCIAS</w:t>
      </w:r>
    </w:p>
    <w:p w:rsidR="00106B38" w:rsidRPr="00E7725B" w:rsidRDefault="00106B38" w:rsidP="00106B38">
      <w:pPr>
        <w:pStyle w:val="Ttulo7"/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</w:p>
    <w:p w:rsidR="00106B38" w:rsidRPr="00B76E64" w:rsidRDefault="00106B38" w:rsidP="00106B3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en-US"/>
        </w:rPr>
      </w:pPr>
      <w:hyperlink r:id="rId5" w:history="1">
        <w:r w:rsidRPr="004C2437">
          <w:rPr>
            <w:rStyle w:val="Hipervnculo"/>
            <w:lang w:val="en-US"/>
          </w:rPr>
          <w:t>Dali-</w:t>
        </w:r>
        <w:proofErr w:type="spellStart"/>
        <w:r w:rsidRPr="004C2437">
          <w:rPr>
            <w:rStyle w:val="Hipervnculo"/>
            <w:lang w:val="en-US"/>
          </w:rPr>
          <w:t>Youcef</w:t>
        </w:r>
        <w:proofErr w:type="spellEnd"/>
        <w:r w:rsidRPr="004C2437">
          <w:rPr>
            <w:rStyle w:val="Hipervnculo"/>
            <w:lang w:val="en-US"/>
          </w:rPr>
          <w:t xml:space="preserve"> N</w:t>
        </w:r>
      </w:hyperlink>
      <w:r w:rsidRPr="004C2437">
        <w:rPr>
          <w:lang w:val="en-US"/>
        </w:rPr>
        <w:t xml:space="preserve">, </w:t>
      </w:r>
      <w:hyperlink r:id="rId6" w:history="1">
        <w:proofErr w:type="spellStart"/>
        <w:r w:rsidRPr="004C2437">
          <w:rPr>
            <w:rStyle w:val="Hipervnculo"/>
            <w:lang w:val="en-US"/>
          </w:rPr>
          <w:t>Andrès</w:t>
        </w:r>
        <w:proofErr w:type="spellEnd"/>
        <w:r w:rsidRPr="004C2437">
          <w:rPr>
            <w:rStyle w:val="Hipervnculo"/>
            <w:lang w:val="en-US"/>
          </w:rPr>
          <w:t xml:space="preserve"> E</w:t>
        </w:r>
      </w:hyperlink>
      <w:r w:rsidRPr="004C2437">
        <w:rPr>
          <w:lang w:val="en-US"/>
        </w:rPr>
        <w:t xml:space="preserve">. An update on </w:t>
      </w:r>
      <w:proofErr w:type="spellStart"/>
      <w:r w:rsidRPr="004C2437">
        <w:rPr>
          <w:lang w:val="en-US"/>
        </w:rPr>
        <w:t>cobalamin</w:t>
      </w:r>
      <w:proofErr w:type="spellEnd"/>
      <w:r w:rsidRPr="004C2437">
        <w:rPr>
          <w:lang w:val="en-US"/>
        </w:rPr>
        <w:t xml:space="preserve"> deficiency in adults. </w:t>
      </w:r>
      <w:hyperlink r:id="rId7" w:tooltip="QJM : monthly journal of the Association of Physicians." w:history="1">
        <w:r w:rsidRPr="00AF31F6">
          <w:rPr>
            <w:rStyle w:val="Hipervnculo"/>
            <w:i/>
            <w:lang w:val="en-US"/>
          </w:rPr>
          <w:t>QJM</w:t>
        </w:r>
      </w:hyperlink>
      <w:r w:rsidRPr="00AF31F6">
        <w:rPr>
          <w:i/>
        </w:rPr>
        <w:t>.</w:t>
      </w:r>
      <w:r w:rsidRPr="00AF31F6">
        <w:rPr>
          <w:i/>
          <w:lang w:val="en-US"/>
        </w:rPr>
        <w:t xml:space="preserve"> </w:t>
      </w:r>
      <w:r w:rsidRPr="00607697">
        <w:rPr>
          <w:lang w:val="en-US"/>
        </w:rPr>
        <w:t xml:space="preserve">2009; </w:t>
      </w:r>
      <w:r w:rsidRPr="00AF31F6">
        <w:rPr>
          <w:i/>
          <w:lang w:val="en-US"/>
        </w:rPr>
        <w:t>102:</w:t>
      </w:r>
      <w:r w:rsidRPr="00607697">
        <w:rPr>
          <w:lang w:val="en-US"/>
        </w:rPr>
        <w:t xml:space="preserve"> 17-28</w:t>
      </w:r>
      <w:r>
        <w:rPr>
          <w:lang w:val="en-US"/>
        </w:rPr>
        <w:t>.</w:t>
      </w:r>
    </w:p>
    <w:p w:rsidR="00106B38" w:rsidRPr="00AF7A3D" w:rsidRDefault="00106B38" w:rsidP="00106B38">
      <w:pPr>
        <w:pStyle w:val="Ttulo1"/>
        <w:keepLines w:val="0"/>
        <w:numPr>
          <w:ilvl w:val="0"/>
          <w:numId w:val="1"/>
        </w:numP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sz w:val="24"/>
        </w:rPr>
      </w:pPr>
      <w:r w:rsidRPr="00AF7A3D">
        <w:rPr>
          <w:rFonts w:ascii="Times New Roman" w:hAnsi="Times New Roman"/>
          <w:b w:val="0"/>
        </w:rPr>
        <w:t xml:space="preserve">Ocampo JM. Los grandes síndromes de la geriatría. </w:t>
      </w:r>
      <w:r w:rsidRPr="00AF7A3D">
        <w:rPr>
          <w:rFonts w:ascii="Times New Roman" w:hAnsi="Times New Roman"/>
          <w:b w:val="0"/>
          <w:i/>
          <w:iCs/>
        </w:rPr>
        <w:t>En:</w:t>
      </w:r>
      <w:r w:rsidRPr="00AF7A3D">
        <w:rPr>
          <w:rFonts w:ascii="Times New Roman" w:hAnsi="Times New Roman"/>
          <w:b w:val="0"/>
          <w:iCs/>
        </w:rPr>
        <w:t xml:space="preserve"> López JH</w:t>
      </w:r>
      <w:r w:rsidRPr="00AF7A3D">
        <w:rPr>
          <w:rFonts w:ascii="Times New Roman" w:hAnsi="Times New Roman"/>
          <w:b w:val="0"/>
          <w:lang w:val="es-MX"/>
        </w:rPr>
        <w:t xml:space="preserve"> (</w:t>
      </w:r>
      <w:proofErr w:type="spellStart"/>
      <w:r w:rsidRPr="00AF7A3D">
        <w:rPr>
          <w:rFonts w:ascii="Times New Roman" w:hAnsi="Times New Roman"/>
          <w:b w:val="0"/>
          <w:lang w:val="es-MX"/>
        </w:rPr>
        <w:t>ed</w:t>
      </w:r>
      <w:proofErr w:type="spellEnd"/>
      <w:r w:rsidRPr="00AF7A3D">
        <w:rPr>
          <w:rFonts w:ascii="Times New Roman" w:hAnsi="Times New Roman"/>
          <w:b w:val="0"/>
          <w:lang w:val="es-MX"/>
        </w:rPr>
        <w:t xml:space="preserve">). </w:t>
      </w:r>
      <w:r w:rsidRPr="00AF7A3D">
        <w:rPr>
          <w:rFonts w:ascii="Times New Roman" w:hAnsi="Times New Roman"/>
          <w:b w:val="0"/>
          <w:i/>
        </w:rPr>
        <w:t>Semiología geriátrica: anamnesis y examen físico del anciano</w:t>
      </w:r>
      <w:r w:rsidRPr="00AF7A3D">
        <w:rPr>
          <w:rFonts w:ascii="Times New Roman" w:hAnsi="Times New Roman"/>
          <w:b w:val="0"/>
        </w:rPr>
        <w:t xml:space="preserve">. </w:t>
      </w:r>
      <w:r w:rsidRPr="00AF7A3D">
        <w:rPr>
          <w:rFonts w:ascii="Times New Roman" w:hAnsi="Times New Roman"/>
          <w:b w:val="0"/>
          <w:lang w:val="es-MX"/>
        </w:rPr>
        <w:t>Bogotá: Editorial Médica CELSUS; 2010. p. 327-48.</w:t>
      </w:r>
    </w:p>
    <w:p w:rsidR="00106B38" w:rsidRPr="004C2437" w:rsidRDefault="00106B38" w:rsidP="00106B3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en-US"/>
        </w:rPr>
      </w:pPr>
      <w:hyperlink r:id="rId8" w:history="1">
        <w:proofErr w:type="spellStart"/>
        <w:r w:rsidRPr="00D11052">
          <w:rPr>
            <w:rStyle w:val="Hipervnculo"/>
            <w:lang w:val="en-US"/>
          </w:rPr>
          <w:t>Andrès</w:t>
        </w:r>
        <w:proofErr w:type="spellEnd"/>
        <w:r w:rsidRPr="00D11052">
          <w:rPr>
            <w:rStyle w:val="Hipervnculo"/>
            <w:lang w:val="en-US"/>
          </w:rPr>
          <w:t xml:space="preserve"> E</w:t>
        </w:r>
      </w:hyperlink>
      <w:r w:rsidRPr="00D11052">
        <w:rPr>
          <w:lang w:val="en-US"/>
        </w:rPr>
        <w:t xml:space="preserve">, </w:t>
      </w:r>
      <w:hyperlink r:id="rId9" w:history="1">
        <w:r w:rsidRPr="00D11052">
          <w:rPr>
            <w:rStyle w:val="Hipervnculo"/>
            <w:lang w:val="en-US"/>
          </w:rPr>
          <w:t>Vogel T</w:t>
        </w:r>
      </w:hyperlink>
      <w:r w:rsidRPr="00D11052">
        <w:rPr>
          <w:lang w:val="en-US"/>
        </w:rPr>
        <w:t xml:space="preserve">, </w:t>
      </w:r>
      <w:hyperlink r:id="rId10" w:history="1">
        <w:proofErr w:type="spellStart"/>
        <w:r w:rsidRPr="00D11052">
          <w:rPr>
            <w:rStyle w:val="Hipervnculo"/>
            <w:lang w:val="en-US"/>
          </w:rPr>
          <w:t>Federici</w:t>
        </w:r>
        <w:proofErr w:type="spellEnd"/>
        <w:r w:rsidRPr="00D11052">
          <w:rPr>
            <w:rStyle w:val="Hipervnculo"/>
            <w:lang w:val="en-US"/>
          </w:rPr>
          <w:t xml:space="preserve"> L</w:t>
        </w:r>
      </w:hyperlink>
      <w:r w:rsidRPr="00D11052">
        <w:rPr>
          <w:lang w:val="en-US"/>
        </w:rPr>
        <w:t xml:space="preserve">, </w:t>
      </w:r>
      <w:hyperlink r:id="rId11" w:history="1">
        <w:r w:rsidRPr="00D11052">
          <w:rPr>
            <w:rStyle w:val="Hipervnculo"/>
            <w:lang w:val="en-US"/>
          </w:rPr>
          <w:t>Zimmer J</w:t>
        </w:r>
      </w:hyperlink>
      <w:r w:rsidRPr="00D11052">
        <w:rPr>
          <w:lang w:val="en-US"/>
        </w:rPr>
        <w:t xml:space="preserve">, </w:t>
      </w:r>
      <w:hyperlink r:id="rId12" w:history="1">
        <w:proofErr w:type="spellStart"/>
        <w:r w:rsidRPr="00D11052">
          <w:rPr>
            <w:rStyle w:val="Hipervnculo"/>
            <w:lang w:val="en-US"/>
          </w:rPr>
          <w:t>Kaltenbach</w:t>
        </w:r>
        <w:proofErr w:type="spellEnd"/>
        <w:r w:rsidRPr="00D11052">
          <w:rPr>
            <w:rStyle w:val="Hipervnculo"/>
            <w:lang w:val="en-US"/>
          </w:rPr>
          <w:t xml:space="preserve"> G</w:t>
        </w:r>
      </w:hyperlink>
      <w:r w:rsidRPr="00D11052">
        <w:rPr>
          <w:lang w:val="en-US"/>
        </w:rPr>
        <w:t xml:space="preserve">. Update on oral </w:t>
      </w:r>
      <w:proofErr w:type="spellStart"/>
      <w:r w:rsidRPr="00D11052">
        <w:rPr>
          <w:lang w:val="en-US"/>
        </w:rPr>
        <w:t>cyanocoba</w:t>
      </w:r>
      <w:r w:rsidRPr="004C2437">
        <w:rPr>
          <w:lang w:val="en-US"/>
        </w:rPr>
        <w:t>lamin</w:t>
      </w:r>
      <w:proofErr w:type="spellEnd"/>
      <w:r w:rsidRPr="004C2437">
        <w:rPr>
          <w:lang w:val="en-US"/>
        </w:rPr>
        <w:t xml:space="preserve"> (vitamin B12) treatment in elderly patients. </w:t>
      </w:r>
      <w:hyperlink r:id="rId13" w:tooltip="Drugs &amp; aging." w:history="1">
        <w:proofErr w:type="spellStart"/>
        <w:r w:rsidRPr="00AF31F6">
          <w:rPr>
            <w:rStyle w:val="Hipervnculo"/>
            <w:i/>
          </w:rPr>
          <w:t>Drugs</w:t>
        </w:r>
        <w:proofErr w:type="spellEnd"/>
        <w:r w:rsidRPr="00AF31F6">
          <w:rPr>
            <w:rStyle w:val="Hipervnculo"/>
            <w:i/>
          </w:rPr>
          <w:t xml:space="preserve"> </w:t>
        </w:r>
        <w:proofErr w:type="spellStart"/>
        <w:r w:rsidRPr="00AF31F6">
          <w:rPr>
            <w:rStyle w:val="Hipervnculo"/>
            <w:i/>
          </w:rPr>
          <w:t>Aging</w:t>
        </w:r>
        <w:proofErr w:type="spellEnd"/>
        <w:r w:rsidRPr="00AF31F6">
          <w:rPr>
            <w:rStyle w:val="Hipervnculo"/>
            <w:i/>
          </w:rPr>
          <w:t>.</w:t>
        </w:r>
      </w:hyperlink>
      <w:r w:rsidRPr="004C2437">
        <w:t xml:space="preserve"> 2008; </w:t>
      </w:r>
      <w:r w:rsidRPr="00AF31F6">
        <w:rPr>
          <w:i/>
        </w:rPr>
        <w:t>25:</w:t>
      </w:r>
      <w:r w:rsidRPr="004C2437">
        <w:t xml:space="preserve"> 927-32.</w:t>
      </w:r>
    </w:p>
    <w:p w:rsidR="00106B38" w:rsidRPr="009A42C0" w:rsidRDefault="00106B38" w:rsidP="00106B3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en-US"/>
        </w:rPr>
      </w:pPr>
      <w:hyperlink r:id="rId14" w:history="1">
        <w:proofErr w:type="spellStart"/>
        <w:r w:rsidRPr="000D71E7">
          <w:rPr>
            <w:rStyle w:val="Hipervnculo"/>
          </w:rPr>
          <w:t>Dharmarajan</w:t>
        </w:r>
        <w:proofErr w:type="spellEnd"/>
        <w:r w:rsidRPr="000D71E7">
          <w:rPr>
            <w:rStyle w:val="Hipervnculo"/>
          </w:rPr>
          <w:t xml:space="preserve"> TS</w:t>
        </w:r>
      </w:hyperlink>
      <w:r w:rsidRPr="000D71E7">
        <w:t xml:space="preserve">, </w:t>
      </w:r>
      <w:hyperlink r:id="rId15" w:history="1">
        <w:proofErr w:type="spellStart"/>
        <w:r w:rsidRPr="000D71E7">
          <w:rPr>
            <w:rStyle w:val="Hipervnculo"/>
          </w:rPr>
          <w:t>Adiga</w:t>
        </w:r>
        <w:proofErr w:type="spellEnd"/>
        <w:r w:rsidRPr="000D71E7">
          <w:rPr>
            <w:rStyle w:val="Hipervnculo"/>
          </w:rPr>
          <w:t xml:space="preserve"> GU</w:t>
        </w:r>
      </w:hyperlink>
      <w:r w:rsidRPr="000D71E7">
        <w:t xml:space="preserve">, </w:t>
      </w:r>
      <w:hyperlink r:id="rId16" w:history="1">
        <w:proofErr w:type="spellStart"/>
        <w:r w:rsidRPr="000D71E7">
          <w:rPr>
            <w:rStyle w:val="Hipervnculo"/>
          </w:rPr>
          <w:t>Norkus</w:t>
        </w:r>
        <w:proofErr w:type="spellEnd"/>
        <w:r w:rsidRPr="000D71E7">
          <w:rPr>
            <w:rStyle w:val="Hipervnculo"/>
          </w:rPr>
          <w:t xml:space="preserve"> EP</w:t>
        </w:r>
      </w:hyperlink>
      <w:r w:rsidRPr="000D71E7">
        <w:t>.</w:t>
      </w:r>
      <w:r>
        <w:t xml:space="preserve"> </w:t>
      </w:r>
      <w:r w:rsidRPr="00106B38">
        <w:rPr>
          <w:lang w:val="en-US"/>
        </w:rPr>
        <w:t xml:space="preserve">Vitamin B12 deficiency. </w:t>
      </w:r>
      <w:r w:rsidRPr="000D71E7">
        <w:rPr>
          <w:lang w:val="en-US"/>
        </w:rPr>
        <w:t xml:space="preserve">Recognizing subtle symptoms in older adults. </w:t>
      </w:r>
      <w:hyperlink r:id="rId17" w:tooltip="Geriatrics." w:history="1">
        <w:r w:rsidRPr="00106B38">
          <w:rPr>
            <w:rStyle w:val="Hipervnculo"/>
            <w:i/>
            <w:lang w:val="en-US"/>
          </w:rPr>
          <w:t>Geriatrics</w:t>
        </w:r>
      </w:hyperlink>
      <w:r w:rsidRPr="00106B38">
        <w:rPr>
          <w:i/>
          <w:lang w:val="en-US"/>
        </w:rPr>
        <w:t>.</w:t>
      </w:r>
      <w:r w:rsidRPr="00106B38">
        <w:rPr>
          <w:lang w:val="en-US"/>
        </w:rPr>
        <w:t xml:space="preserve"> </w:t>
      </w:r>
      <w:r w:rsidRPr="009A42C0">
        <w:t xml:space="preserve">2003; </w:t>
      </w:r>
      <w:r w:rsidRPr="00410A8F">
        <w:rPr>
          <w:i/>
        </w:rPr>
        <w:t>58:</w:t>
      </w:r>
      <w:r w:rsidRPr="009A42C0">
        <w:t xml:space="preserve"> 30-4, 37-8.</w:t>
      </w:r>
      <w:r>
        <w:t xml:space="preserve"> </w:t>
      </w:r>
    </w:p>
    <w:p w:rsidR="00106B38" w:rsidRPr="00C02C39" w:rsidRDefault="00106B38" w:rsidP="00106B38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hyperlink r:id="rId18" w:history="1">
        <w:r w:rsidRPr="00C02C39">
          <w:rPr>
            <w:rStyle w:val="Hipervnculo"/>
            <w:lang w:val="en-US"/>
          </w:rPr>
          <w:t>Stover PJ</w:t>
        </w:r>
      </w:hyperlink>
      <w:r w:rsidRPr="00C02C39">
        <w:rPr>
          <w:lang w:val="en-US"/>
        </w:rPr>
        <w:t xml:space="preserve">. Vitamin B12 and older adults. </w:t>
      </w:r>
      <w:hyperlink r:id="rId19" w:tooltip="Current opinion in clinical nutrition and metabolic care." w:history="1">
        <w:proofErr w:type="spellStart"/>
        <w:r w:rsidRPr="00410A8F">
          <w:rPr>
            <w:rStyle w:val="Hipervnculo"/>
            <w:i/>
            <w:lang w:val="en-US"/>
          </w:rPr>
          <w:t>Curr</w:t>
        </w:r>
        <w:proofErr w:type="spellEnd"/>
        <w:r w:rsidRPr="00410A8F">
          <w:rPr>
            <w:rStyle w:val="Hipervnculo"/>
            <w:i/>
            <w:lang w:val="en-US"/>
          </w:rPr>
          <w:t xml:space="preserve"> </w:t>
        </w:r>
        <w:proofErr w:type="spellStart"/>
        <w:r w:rsidRPr="00410A8F">
          <w:rPr>
            <w:rStyle w:val="Hipervnculo"/>
            <w:i/>
            <w:lang w:val="en-US"/>
          </w:rPr>
          <w:t>Opin</w:t>
        </w:r>
        <w:proofErr w:type="spellEnd"/>
        <w:r w:rsidRPr="00410A8F">
          <w:rPr>
            <w:rStyle w:val="Hipervnculo"/>
            <w:i/>
            <w:lang w:val="en-US"/>
          </w:rPr>
          <w:t xml:space="preserve"> </w:t>
        </w:r>
        <w:proofErr w:type="spellStart"/>
        <w:r w:rsidRPr="00410A8F">
          <w:rPr>
            <w:rStyle w:val="Hipervnculo"/>
            <w:i/>
            <w:lang w:val="en-US"/>
          </w:rPr>
          <w:t>Clin</w:t>
        </w:r>
        <w:proofErr w:type="spellEnd"/>
        <w:r w:rsidRPr="00410A8F">
          <w:rPr>
            <w:rStyle w:val="Hipervnculo"/>
            <w:i/>
            <w:lang w:val="en-US"/>
          </w:rPr>
          <w:t xml:space="preserve"> </w:t>
        </w:r>
        <w:proofErr w:type="spellStart"/>
        <w:r w:rsidRPr="00410A8F">
          <w:rPr>
            <w:rStyle w:val="Hipervnculo"/>
            <w:i/>
            <w:lang w:val="en-US"/>
          </w:rPr>
          <w:t>Nutr</w:t>
        </w:r>
        <w:proofErr w:type="spellEnd"/>
        <w:r w:rsidRPr="00410A8F">
          <w:rPr>
            <w:rStyle w:val="Hipervnculo"/>
            <w:i/>
            <w:lang w:val="en-US"/>
          </w:rPr>
          <w:t xml:space="preserve"> </w:t>
        </w:r>
        <w:proofErr w:type="spellStart"/>
        <w:r w:rsidRPr="00410A8F">
          <w:rPr>
            <w:rStyle w:val="Hipervnculo"/>
            <w:i/>
            <w:lang w:val="en-US"/>
          </w:rPr>
          <w:t>Metab</w:t>
        </w:r>
        <w:proofErr w:type="spellEnd"/>
        <w:r w:rsidRPr="00410A8F">
          <w:rPr>
            <w:rStyle w:val="Hipervnculo"/>
            <w:i/>
            <w:lang w:val="en-US"/>
          </w:rPr>
          <w:t xml:space="preserve"> Care</w:t>
        </w:r>
      </w:hyperlink>
      <w:r w:rsidRPr="00410A8F">
        <w:rPr>
          <w:i/>
        </w:rPr>
        <w:t>.</w:t>
      </w:r>
      <w:r w:rsidRPr="00C02C39">
        <w:rPr>
          <w:lang w:val="en-US"/>
        </w:rPr>
        <w:t xml:space="preserve"> </w:t>
      </w:r>
      <w:r w:rsidRPr="00C02C39">
        <w:t>2010;</w:t>
      </w:r>
      <w:r>
        <w:t xml:space="preserve"> </w:t>
      </w:r>
      <w:r w:rsidRPr="00410A8F">
        <w:rPr>
          <w:i/>
        </w:rPr>
        <w:t>13:</w:t>
      </w:r>
      <w:r>
        <w:t xml:space="preserve"> </w:t>
      </w:r>
      <w:r w:rsidRPr="00C02C39">
        <w:t>24-7.</w:t>
      </w:r>
    </w:p>
    <w:p w:rsidR="00106B38" w:rsidRDefault="00106B38" w:rsidP="00106B3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en-US"/>
        </w:rPr>
      </w:pPr>
      <w:hyperlink r:id="rId20" w:history="1">
        <w:proofErr w:type="spellStart"/>
        <w:r w:rsidRPr="00153688">
          <w:rPr>
            <w:rStyle w:val="Hipervnculo"/>
            <w:lang w:val="en-US"/>
          </w:rPr>
          <w:t>Wolters</w:t>
        </w:r>
        <w:proofErr w:type="spellEnd"/>
        <w:r w:rsidRPr="00153688">
          <w:rPr>
            <w:rStyle w:val="Hipervnculo"/>
            <w:lang w:val="en-US"/>
          </w:rPr>
          <w:t xml:space="preserve"> M</w:t>
        </w:r>
      </w:hyperlink>
      <w:r w:rsidRPr="00153688">
        <w:rPr>
          <w:lang w:val="en-US"/>
        </w:rPr>
        <w:t xml:space="preserve">, </w:t>
      </w:r>
      <w:hyperlink r:id="rId21" w:history="1">
        <w:proofErr w:type="spellStart"/>
        <w:r w:rsidRPr="00153688">
          <w:rPr>
            <w:rStyle w:val="Hipervnculo"/>
            <w:lang w:val="en-US"/>
          </w:rPr>
          <w:t>Ströhle</w:t>
        </w:r>
        <w:proofErr w:type="spellEnd"/>
        <w:r w:rsidRPr="00153688">
          <w:rPr>
            <w:rStyle w:val="Hipervnculo"/>
            <w:lang w:val="en-US"/>
          </w:rPr>
          <w:t xml:space="preserve"> A</w:t>
        </w:r>
      </w:hyperlink>
      <w:r w:rsidRPr="00153688">
        <w:rPr>
          <w:lang w:val="en-US"/>
        </w:rPr>
        <w:t xml:space="preserve">, </w:t>
      </w:r>
      <w:hyperlink r:id="rId22" w:history="1">
        <w:r w:rsidRPr="00153688">
          <w:rPr>
            <w:rStyle w:val="Hipervnculo"/>
            <w:lang w:val="en-US"/>
          </w:rPr>
          <w:t>Hahn A</w:t>
        </w:r>
      </w:hyperlink>
      <w:r w:rsidRPr="00153688">
        <w:rPr>
          <w:lang w:val="en-US"/>
        </w:rPr>
        <w:t xml:space="preserve">. </w:t>
      </w:r>
      <w:proofErr w:type="spellStart"/>
      <w:r w:rsidRPr="00153688">
        <w:rPr>
          <w:lang w:val="en-US"/>
        </w:rPr>
        <w:t>Cobalamin</w:t>
      </w:r>
      <w:proofErr w:type="spellEnd"/>
      <w:r w:rsidRPr="00153688">
        <w:rPr>
          <w:lang w:val="en-US"/>
        </w:rPr>
        <w:t xml:space="preserve">: a critical vitamin in the elderly. </w:t>
      </w:r>
      <w:hyperlink r:id="rId23" w:tooltip="Preventive medicine." w:history="1">
        <w:proofErr w:type="spellStart"/>
        <w:r w:rsidRPr="00410A8F">
          <w:rPr>
            <w:rStyle w:val="Hipervnculo"/>
            <w:i/>
            <w:lang w:val="en-US"/>
          </w:rPr>
          <w:t>Prev</w:t>
        </w:r>
        <w:proofErr w:type="spellEnd"/>
        <w:r w:rsidRPr="00410A8F">
          <w:rPr>
            <w:rStyle w:val="Hipervnculo"/>
            <w:i/>
            <w:lang w:val="en-US"/>
          </w:rPr>
          <w:t xml:space="preserve"> Med</w:t>
        </w:r>
      </w:hyperlink>
      <w:r w:rsidRPr="00410A8F">
        <w:rPr>
          <w:i/>
        </w:rPr>
        <w:t>.</w:t>
      </w:r>
      <w:r w:rsidRPr="00153688">
        <w:rPr>
          <w:lang w:val="en-US"/>
        </w:rPr>
        <w:t xml:space="preserve"> 2004;</w:t>
      </w:r>
      <w:r>
        <w:rPr>
          <w:lang w:val="en-US"/>
        </w:rPr>
        <w:t xml:space="preserve"> </w:t>
      </w:r>
      <w:r w:rsidRPr="00410A8F">
        <w:rPr>
          <w:i/>
          <w:lang w:val="en-US"/>
        </w:rPr>
        <w:t>39:</w:t>
      </w:r>
      <w:r w:rsidRPr="00153688">
        <w:rPr>
          <w:lang w:val="en-US"/>
        </w:rPr>
        <w:t xml:space="preserve"> 1256-66. </w:t>
      </w:r>
    </w:p>
    <w:p w:rsidR="00106B38" w:rsidRDefault="00106B38" w:rsidP="00106B38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hyperlink r:id="rId24" w:history="1">
        <w:proofErr w:type="spellStart"/>
        <w:r w:rsidRPr="00FA01C2">
          <w:rPr>
            <w:rStyle w:val="Hipervnculo"/>
            <w:lang w:val="en-US"/>
          </w:rPr>
          <w:t>Andrès</w:t>
        </w:r>
        <w:proofErr w:type="spellEnd"/>
        <w:r w:rsidRPr="00FA01C2">
          <w:rPr>
            <w:rStyle w:val="Hipervnculo"/>
            <w:lang w:val="en-US"/>
          </w:rPr>
          <w:t xml:space="preserve"> E</w:t>
        </w:r>
      </w:hyperlink>
      <w:r w:rsidRPr="00FA01C2">
        <w:rPr>
          <w:lang w:val="en-US"/>
        </w:rPr>
        <w:t xml:space="preserve">, </w:t>
      </w:r>
      <w:hyperlink r:id="rId25" w:history="1">
        <w:r w:rsidRPr="00FA01C2">
          <w:rPr>
            <w:rStyle w:val="Hipervnculo"/>
            <w:lang w:val="en-US"/>
          </w:rPr>
          <w:t>Vidal-</w:t>
        </w:r>
        <w:proofErr w:type="spellStart"/>
        <w:r w:rsidRPr="00FA01C2">
          <w:rPr>
            <w:rStyle w:val="Hipervnculo"/>
            <w:lang w:val="en-US"/>
          </w:rPr>
          <w:t>Alaball</w:t>
        </w:r>
        <w:proofErr w:type="spellEnd"/>
        <w:r w:rsidRPr="00FA01C2">
          <w:rPr>
            <w:rStyle w:val="Hipervnculo"/>
            <w:lang w:val="en-US"/>
          </w:rPr>
          <w:t xml:space="preserve"> J</w:t>
        </w:r>
      </w:hyperlink>
      <w:r w:rsidRPr="00FA01C2">
        <w:rPr>
          <w:lang w:val="en-US"/>
        </w:rPr>
        <w:t xml:space="preserve">, </w:t>
      </w:r>
      <w:hyperlink r:id="rId26" w:history="1">
        <w:proofErr w:type="spellStart"/>
        <w:r w:rsidRPr="00FA01C2">
          <w:rPr>
            <w:rStyle w:val="Hipervnculo"/>
            <w:lang w:val="en-US"/>
          </w:rPr>
          <w:t>Federici</w:t>
        </w:r>
        <w:proofErr w:type="spellEnd"/>
        <w:r w:rsidRPr="00FA01C2">
          <w:rPr>
            <w:rStyle w:val="Hipervnculo"/>
            <w:lang w:val="en-US"/>
          </w:rPr>
          <w:t xml:space="preserve"> L</w:t>
        </w:r>
      </w:hyperlink>
      <w:r w:rsidRPr="00FA01C2">
        <w:rPr>
          <w:lang w:val="en-US"/>
        </w:rPr>
        <w:t xml:space="preserve">, </w:t>
      </w:r>
      <w:hyperlink r:id="rId27" w:history="1">
        <w:proofErr w:type="spellStart"/>
        <w:r w:rsidRPr="00FA01C2">
          <w:rPr>
            <w:rStyle w:val="Hipervnculo"/>
            <w:lang w:val="en-US"/>
          </w:rPr>
          <w:t>Loukili</w:t>
        </w:r>
        <w:proofErr w:type="spellEnd"/>
        <w:r w:rsidRPr="00FA01C2">
          <w:rPr>
            <w:rStyle w:val="Hipervnculo"/>
            <w:lang w:val="en-US"/>
          </w:rPr>
          <w:t xml:space="preserve"> NH</w:t>
        </w:r>
      </w:hyperlink>
      <w:r w:rsidRPr="00FA01C2">
        <w:rPr>
          <w:lang w:val="en-US"/>
        </w:rPr>
        <w:t xml:space="preserve">, </w:t>
      </w:r>
      <w:hyperlink r:id="rId28" w:history="1">
        <w:r w:rsidRPr="00FA01C2">
          <w:rPr>
            <w:rStyle w:val="Hipervnculo"/>
            <w:lang w:val="en-US"/>
          </w:rPr>
          <w:t>Zimmer J</w:t>
        </w:r>
      </w:hyperlink>
      <w:r w:rsidRPr="00FA01C2">
        <w:rPr>
          <w:lang w:val="en-US"/>
        </w:rPr>
        <w:t xml:space="preserve">, </w:t>
      </w:r>
      <w:hyperlink r:id="rId29" w:history="1">
        <w:proofErr w:type="spellStart"/>
        <w:r w:rsidRPr="00FA01C2">
          <w:rPr>
            <w:rStyle w:val="Hipervnculo"/>
            <w:lang w:val="en-US"/>
          </w:rPr>
          <w:t>Kaltenbach</w:t>
        </w:r>
        <w:proofErr w:type="spellEnd"/>
        <w:r w:rsidRPr="00FA01C2">
          <w:rPr>
            <w:rStyle w:val="Hipervnculo"/>
            <w:lang w:val="en-US"/>
          </w:rPr>
          <w:t xml:space="preserve"> G</w:t>
        </w:r>
      </w:hyperlink>
      <w:r w:rsidRPr="00FA01C2">
        <w:rPr>
          <w:lang w:val="en-US"/>
        </w:rPr>
        <w:t xml:space="preserve">. Clinical aspects of </w:t>
      </w:r>
      <w:proofErr w:type="spellStart"/>
      <w:r w:rsidRPr="00FA01C2">
        <w:rPr>
          <w:lang w:val="en-US"/>
        </w:rPr>
        <w:t>cobalamin</w:t>
      </w:r>
      <w:proofErr w:type="spellEnd"/>
      <w:r w:rsidRPr="00FA01C2">
        <w:rPr>
          <w:lang w:val="en-US"/>
        </w:rPr>
        <w:t xml:space="preserve"> deficiency in elderly patients. Epidemiology, causes, clinical manifestations, and treatment with special focus on oral </w:t>
      </w:r>
      <w:proofErr w:type="spellStart"/>
      <w:r w:rsidRPr="00FA01C2">
        <w:rPr>
          <w:lang w:val="en-US"/>
        </w:rPr>
        <w:t>cobalamin</w:t>
      </w:r>
      <w:proofErr w:type="spellEnd"/>
      <w:r w:rsidRPr="00FA01C2">
        <w:rPr>
          <w:lang w:val="en-US"/>
        </w:rPr>
        <w:t xml:space="preserve"> therapy. </w:t>
      </w:r>
      <w:hyperlink r:id="rId30" w:tooltip="European journal of internal medicine." w:history="1">
        <w:proofErr w:type="spellStart"/>
        <w:r w:rsidRPr="00410A8F">
          <w:rPr>
            <w:rStyle w:val="Hipervnculo"/>
            <w:i/>
          </w:rPr>
          <w:t>Eur</w:t>
        </w:r>
        <w:proofErr w:type="spellEnd"/>
        <w:r w:rsidRPr="00410A8F">
          <w:rPr>
            <w:rStyle w:val="Hipervnculo"/>
            <w:i/>
          </w:rPr>
          <w:t xml:space="preserve"> J </w:t>
        </w:r>
        <w:proofErr w:type="spellStart"/>
        <w:r w:rsidRPr="00410A8F">
          <w:rPr>
            <w:rStyle w:val="Hipervnculo"/>
            <w:i/>
          </w:rPr>
          <w:t>Intern</w:t>
        </w:r>
        <w:proofErr w:type="spellEnd"/>
        <w:r w:rsidRPr="00410A8F">
          <w:rPr>
            <w:rStyle w:val="Hipervnculo"/>
            <w:i/>
          </w:rPr>
          <w:t xml:space="preserve"> </w:t>
        </w:r>
        <w:proofErr w:type="spellStart"/>
        <w:r w:rsidRPr="00410A8F">
          <w:rPr>
            <w:rStyle w:val="Hipervnculo"/>
            <w:i/>
          </w:rPr>
          <w:t>Med</w:t>
        </w:r>
        <w:proofErr w:type="spellEnd"/>
      </w:hyperlink>
      <w:r w:rsidRPr="00410A8F">
        <w:rPr>
          <w:i/>
        </w:rPr>
        <w:t>.</w:t>
      </w:r>
      <w:r w:rsidRPr="00153688">
        <w:t xml:space="preserve"> 2007;</w:t>
      </w:r>
      <w:r>
        <w:t xml:space="preserve"> </w:t>
      </w:r>
      <w:r w:rsidRPr="00410A8F">
        <w:rPr>
          <w:i/>
        </w:rPr>
        <w:t>18:</w:t>
      </w:r>
      <w:r>
        <w:t xml:space="preserve"> </w:t>
      </w:r>
      <w:r w:rsidRPr="00153688">
        <w:t>456-62</w:t>
      </w:r>
      <w:r>
        <w:t xml:space="preserve">. </w:t>
      </w:r>
    </w:p>
    <w:p w:rsidR="00106B38" w:rsidRPr="00FA01C2" w:rsidRDefault="00106B38" w:rsidP="00106B38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hyperlink r:id="rId31" w:history="1">
        <w:r w:rsidRPr="00FA01C2">
          <w:rPr>
            <w:rStyle w:val="Hipervnculo"/>
            <w:lang w:val="en-US"/>
          </w:rPr>
          <w:t>Reynolds E</w:t>
        </w:r>
      </w:hyperlink>
      <w:r w:rsidRPr="00FA01C2">
        <w:rPr>
          <w:lang w:val="en-US"/>
        </w:rPr>
        <w:t xml:space="preserve">. Vitamin B12, folic acid, and the nervous system. </w:t>
      </w:r>
      <w:hyperlink r:id="rId32" w:tooltip="Lancet neurology." w:history="1">
        <w:proofErr w:type="spellStart"/>
        <w:r w:rsidRPr="00410A8F">
          <w:rPr>
            <w:rStyle w:val="Hipervnculo"/>
            <w:i/>
            <w:lang w:val="es-CO"/>
          </w:rPr>
          <w:t>Lancet</w:t>
        </w:r>
        <w:proofErr w:type="spellEnd"/>
        <w:r w:rsidRPr="00410A8F">
          <w:rPr>
            <w:rStyle w:val="Hipervnculo"/>
            <w:i/>
            <w:lang w:val="es-CO"/>
          </w:rPr>
          <w:t xml:space="preserve"> </w:t>
        </w:r>
        <w:proofErr w:type="spellStart"/>
        <w:r w:rsidRPr="00410A8F">
          <w:rPr>
            <w:rStyle w:val="Hipervnculo"/>
            <w:i/>
            <w:lang w:val="es-CO"/>
          </w:rPr>
          <w:t>Neurol</w:t>
        </w:r>
        <w:proofErr w:type="spellEnd"/>
        <w:r w:rsidRPr="00410A8F">
          <w:rPr>
            <w:rStyle w:val="Hipervnculo"/>
            <w:i/>
            <w:lang w:val="es-CO"/>
          </w:rPr>
          <w:t xml:space="preserve">. </w:t>
        </w:r>
      </w:hyperlink>
      <w:r w:rsidRPr="00FA01C2">
        <w:t xml:space="preserve">2006; </w:t>
      </w:r>
      <w:r w:rsidRPr="00410A8F">
        <w:rPr>
          <w:i/>
        </w:rPr>
        <w:t>5:</w:t>
      </w:r>
      <w:r>
        <w:t xml:space="preserve"> </w:t>
      </w:r>
      <w:r w:rsidRPr="00FA01C2">
        <w:t>949-60.</w:t>
      </w:r>
    </w:p>
    <w:p w:rsidR="00580C5C" w:rsidRPr="0056488F" w:rsidRDefault="00580C5C" w:rsidP="00106B38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sectPr w:rsidR="00580C5C" w:rsidRPr="0056488F" w:rsidSect="00580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52F3"/>
    <w:multiLevelType w:val="hybridMultilevel"/>
    <w:tmpl w:val="2430C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488F"/>
    <w:rsid w:val="00106B38"/>
    <w:rsid w:val="0056488F"/>
    <w:rsid w:val="0058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6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56488F"/>
    <w:pPr>
      <w:keepNext/>
      <w:jc w:val="both"/>
      <w:outlineLvl w:val="5"/>
    </w:pPr>
    <w:rPr>
      <w:rFonts w:ascii="Abadi MT Condensed Light" w:eastAsia="Arial Unicode MS" w:hAnsi="Abadi MT Condensed Light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6488F"/>
    <w:rPr>
      <w:rFonts w:ascii="Abadi MT Condensed Light" w:eastAsia="Arial Unicode MS" w:hAnsi="Abadi MT Condensed Light" w:cs="Arial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06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106B38"/>
    <w:pPr>
      <w:spacing w:line="480" w:lineRule="auto"/>
      <w:jc w:val="both"/>
    </w:pPr>
    <w:rPr>
      <w:rFonts w:ascii="Verdana" w:hAnsi="Verdan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6B38"/>
    <w:rPr>
      <w:rFonts w:ascii="Verdana" w:eastAsia="Times New Roman" w:hAnsi="Verdana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106B38"/>
    <w:rPr>
      <w:color w:val="00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Andr%C3%A8s%20E%22%5BAuthor%5D" TargetMode="External"/><Relationship Id="rId13" Type="http://schemas.openxmlformats.org/officeDocument/2006/relationships/hyperlink" Target="javascript:AL_get(this,%20'jour',%20'Drugs%20Aging.');" TargetMode="External"/><Relationship Id="rId18" Type="http://schemas.openxmlformats.org/officeDocument/2006/relationships/hyperlink" Target="http://www.ncbi.nlm.nih.gov/pubmed?term=%22Stover%20PJ%22%5BAuthor%5D" TargetMode="External"/><Relationship Id="rId26" Type="http://schemas.openxmlformats.org/officeDocument/2006/relationships/hyperlink" Target="http://www.ncbi.nlm.nih.gov/pubmed?term=%22Federici%20L%22%5BAuthor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%22Str%C3%B6hle%20A%22%5BAuthor%5D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AL_get(this,%20'jour',%20'QJM.');" TargetMode="External"/><Relationship Id="rId12" Type="http://schemas.openxmlformats.org/officeDocument/2006/relationships/hyperlink" Target="http://www.ncbi.nlm.nih.gov/pubmed?term=%22Kaltenbach%20G%22%5BAuthor%5D" TargetMode="External"/><Relationship Id="rId17" Type="http://schemas.openxmlformats.org/officeDocument/2006/relationships/hyperlink" Target="javascript:AL_get(this,%20'jour',%20'Geriatrics.');" TargetMode="External"/><Relationship Id="rId25" Type="http://schemas.openxmlformats.org/officeDocument/2006/relationships/hyperlink" Target="http://www.ncbi.nlm.nih.gov/pubmed?term=%22Vidal-Alaball%20J%22%5BAuthor%5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Norkus%20EP%22%5BAuthor%5D" TargetMode="External"/><Relationship Id="rId20" Type="http://schemas.openxmlformats.org/officeDocument/2006/relationships/hyperlink" Target="http://www.ncbi.nlm.nih.gov/pubmed?term=%22Wolters%20M%22%5BAuthor%5D" TargetMode="External"/><Relationship Id="rId29" Type="http://schemas.openxmlformats.org/officeDocument/2006/relationships/hyperlink" Target="http://www.ncbi.nlm.nih.gov/pubmed?term=%22Kaltenbach%20G%22%5BAuthor%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Andr%C3%A8s%20E%22%5BAuthor%5D" TargetMode="External"/><Relationship Id="rId11" Type="http://schemas.openxmlformats.org/officeDocument/2006/relationships/hyperlink" Target="http://www.ncbi.nlm.nih.gov/pubmed?term=%22Zimmer%20J%22%5BAuthor%5D" TargetMode="External"/><Relationship Id="rId24" Type="http://schemas.openxmlformats.org/officeDocument/2006/relationships/hyperlink" Target="http://www.ncbi.nlm.nih.gov/pubmed?term=%22Andr%C3%A8s%20E%22%5BAuthor%5D" TargetMode="External"/><Relationship Id="rId32" Type="http://schemas.openxmlformats.org/officeDocument/2006/relationships/hyperlink" Target="javascript:AL_get(this,%20'jour',%20'Lancet%20Neurol.');" TargetMode="External"/><Relationship Id="rId5" Type="http://schemas.openxmlformats.org/officeDocument/2006/relationships/hyperlink" Target="http://www.ncbi.nlm.nih.gov/pubmed?term=%22Dali-Youcef%20N%22%5BAuthor%5D" TargetMode="External"/><Relationship Id="rId15" Type="http://schemas.openxmlformats.org/officeDocument/2006/relationships/hyperlink" Target="http://www.ncbi.nlm.nih.gov/pubmed?term=%22Adiga%20GU%22%5BAuthor%5D" TargetMode="External"/><Relationship Id="rId23" Type="http://schemas.openxmlformats.org/officeDocument/2006/relationships/hyperlink" Target="javascript:AL_get(this,%20'jour',%20'Prev%20Med.');" TargetMode="External"/><Relationship Id="rId28" Type="http://schemas.openxmlformats.org/officeDocument/2006/relationships/hyperlink" Target="http://www.ncbi.nlm.nih.gov/pubmed?term=%22Zimmer%20J%22%5BAuthor%5D" TargetMode="External"/><Relationship Id="rId10" Type="http://schemas.openxmlformats.org/officeDocument/2006/relationships/hyperlink" Target="http://www.ncbi.nlm.nih.gov/pubmed?term=%22Federici%20L%22%5BAuthor%5D" TargetMode="External"/><Relationship Id="rId19" Type="http://schemas.openxmlformats.org/officeDocument/2006/relationships/hyperlink" Target="javascript:AL_get(this,%20'jour',%20'Curr%20Opin%20Clin%20Nutr%20Metab%20Care.');" TargetMode="External"/><Relationship Id="rId31" Type="http://schemas.openxmlformats.org/officeDocument/2006/relationships/hyperlink" Target="http://www.ncbi.nlm.nih.gov/pubmed?term=%22Reynolds%20E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Vogel%20T%22%5BAuthor%5D" TargetMode="External"/><Relationship Id="rId14" Type="http://schemas.openxmlformats.org/officeDocument/2006/relationships/hyperlink" Target="http://www.ncbi.nlm.nih.gov/pubmed?term=%22Dharmarajan%20TS%22%5BAuthor%5D" TargetMode="External"/><Relationship Id="rId22" Type="http://schemas.openxmlformats.org/officeDocument/2006/relationships/hyperlink" Target="http://www.ncbi.nlm.nih.gov/pubmed?term=%22Hahn%20A%22%5BAuthor%5D" TargetMode="External"/><Relationship Id="rId27" Type="http://schemas.openxmlformats.org/officeDocument/2006/relationships/hyperlink" Target="http://www.ncbi.nlm.nih.gov/pubmed?term=%22Loukili%20NH%22%5BAuthor%5D" TargetMode="External"/><Relationship Id="rId30" Type="http://schemas.openxmlformats.org/officeDocument/2006/relationships/hyperlink" Target="javascript:AL_get(this,%20'jour',%20'Eur%20J%20Intern%20Med.'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2846</Words>
  <Characters>15656</Characters>
  <Application>Microsoft Office Word</Application>
  <DocSecurity>0</DocSecurity>
  <Lines>130</Lines>
  <Paragraphs>36</Paragraphs>
  <ScaleCrop>false</ScaleCrop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2</cp:revision>
  <dcterms:created xsi:type="dcterms:W3CDTF">2011-08-31T21:51:00Z</dcterms:created>
  <dcterms:modified xsi:type="dcterms:W3CDTF">2011-08-31T22:52:00Z</dcterms:modified>
</cp:coreProperties>
</file>