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1C" w:rsidRPr="009F2219" w:rsidRDefault="009F2219" w:rsidP="003C0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F2219">
        <w:rPr>
          <w:rFonts w:ascii="Times New Roman" w:hAnsi="Times New Roman" w:cs="Times New Roman"/>
          <w:color w:val="000000"/>
          <w:sz w:val="24"/>
          <w:szCs w:val="24"/>
        </w:rPr>
        <w:t>nálisis paralelo y MBI</w:t>
      </w:r>
      <w:r>
        <w:rPr>
          <w:rFonts w:ascii="Times New Roman" w:hAnsi="Times New Roman" w:cs="Times New Roman"/>
          <w:color w:val="000000"/>
          <w:sz w:val="24"/>
          <w:szCs w:val="24"/>
        </w:rPr>
        <w:t>-SS</w:t>
      </w:r>
      <w:r w:rsidRPr="009F2219">
        <w:rPr>
          <w:rFonts w:ascii="Times New Roman" w:hAnsi="Times New Roman" w:cs="Times New Roman"/>
          <w:color w:val="000000"/>
          <w:sz w:val="24"/>
          <w:szCs w:val="24"/>
        </w:rPr>
        <w:t>: ¿Cuantos factores?</w:t>
      </w:r>
    </w:p>
    <w:p w:rsidR="009F2219" w:rsidRDefault="009F2219" w:rsidP="006B02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F2219" w:rsidRPr="0011590E" w:rsidRDefault="009F2219" w:rsidP="006B02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Sr. Editor.</w:t>
      </w:r>
    </w:p>
    <w:p w:rsidR="004B6D1C" w:rsidRDefault="004B6D1C" w:rsidP="002F480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609E1">
        <w:rPr>
          <w:rFonts w:ascii="Times New Roman" w:hAnsi="Times New Roman" w:cs="Times New Roman"/>
          <w:color w:val="000000"/>
          <w:sz w:val="24"/>
          <w:szCs w:val="24"/>
        </w:rPr>
        <w:t xml:space="preserve">Hace poco se ha logrado validar el </w:t>
      </w:r>
      <w:proofErr w:type="spellStart"/>
      <w:r w:rsidRPr="002C55F5">
        <w:rPr>
          <w:rFonts w:ascii="Times New Roman" w:hAnsi="Times New Roman" w:cs="Times New Roman"/>
          <w:i/>
          <w:color w:val="000000"/>
          <w:sz w:val="24"/>
          <w:szCs w:val="24"/>
        </w:rPr>
        <w:t>Maslach</w:t>
      </w:r>
      <w:proofErr w:type="spellEnd"/>
      <w:r w:rsidRPr="002C5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C55F5">
        <w:rPr>
          <w:rFonts w:ascii="Times New Roman" w:hAnsi="Times New Roman" w:cs="Times New Roman"/>
          <w:i/>
          <w:color w:val="000000"/>
          <w:sz w:val="24"/>
          <w:szCs w:val="24"/>
        </w:rPr>
        <w:t>Burnout</w:t>
      </w:r>
      <w:proofErr w:type="spellEnd"/>
      <w:r w:rsidRPr="002C5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C55F5">
        <w:rPr>
          <w:rFonts w:ascii="Times New Roman" w:hAnsi="Times New Roman" w:cs="Times New Roman"/>
          <w:i/>
          <w:color w:val="000000"/>
          <w:sz w:val="24"/>
          <w:szCs w:val="24"/>
        </w:rPr>
        <w:t>Inventory</w:t>
      </w:r>
      <w:proofErr w:type="spellEnd"/>
      <w:r w:rsidRPr="002C5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-Human </w:t>
      </w:r>
      <w:proofErr w:type="spellStart"/>
      <w:r w:rsidRPr="002C55F5">
        <w:rPr>
          <w:rFonts w:ascii="Times New Roman" w:hAnsi="Times New Roman" w:cs="Times New Roman"/>
          <w:i/>
          <w:color w:val="000000"/>
          <w:sz w:val="24"/>
          <w:szCs w:val="24"/>
        </w:rPr>
        <w:t>Services</w:t>
      </w:r>
      <w:proofErr w:type="spellEnd"/>
      <w:r w:rsidRPr="002C5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C55F5">
        <w:rPr>
          <w:rFonts w:ascii="Times New Roman" w:hAnsi="Times New Roman" w:cs="Times New Roman"/>
          <w:i/>
          <w:color w:val="000000"/>
          <w:sz w:val="24"/>
          <w:szCs w:val="24"/>
        </w:rPr>
        <w:t>Survey</w:t>
      </w:r>
      <w:proofErr w:type="spellEnd"/>
      <w:r w:rsidRPr="00F609E1">
        <w:rPr>
          <w:rFonts w:ascii="Times New Roman" w:hAnsi="Times New Roman" w:cs="Times New Roman"/>
          <w:color w:val="000000"/>
          <w:sz w:val="24"/>
          <w:szCs w:val="24"/>
        </w:rPr>
        <w:t xml:space="preserve"> (MBI-HSS)</w:t>
      </w:r>
      <w:r w:rsidR="0011590E" w:rsidRPr="001159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6B02E2" w:rsidRPr="00F609E1">
        <w:rPr>
          <w:rFonts w:ascii="Times New Roman" w:hAnsi="Times New Roman" w:cs="Times New Roman"/>
          <w:color w:val="000000"/>
          <w:sz w:val="24"/>
          <w:szCs w:val="24"/>
        </w:rPr>
        <w:t xml:space="preserve"> en profesionales de salud de C</w:t>
      </w:r>
      <w:r w:rsidR="0011590E">
        <w:rPr>
          <w:rFonts w:ascii="Times New Roman" w:hAnsi="Times New Roman" w:cs="Times New Roman"/>
          <w:color w:val="000000"/>
          <w:sz w:val="24"/>
          <w:szCs w:val="24"/>
        </w:rPr>
        <w:t>ali</w:t>
      </w:r>
      <w:r w:rsidR="0011590E" w:rsidRPr="001159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B02E2" w:rsidRPr="006B02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B02E2">
        <w:rPr>
          <w:rFonts w:ascii="Times New Roman" w:hAnsi="Times New Roman" w:cs="Times New Roman"/>
          <w:color w:val="000000"/>
          <w:sz w:val="24"/>
          <w:szCs w:val="24"/>
        </w:rPr>
        <w:t xml:space="preserve"> un importante paso para usar el instrumento con soporte empírico local respecto a la confiabilidad de sus puntajes y la estructura interna. Sin embargo, dos aspectos se este análisis pueden considerarse debilidades metodológicas. Primero, que el coeficiente alfa de </w:t>
      </w:r>
      <w:proofErr w:type="spellStart"/>
      <w:r w:rsidR="006B02E2">
        <w:rPr>
          <w:rFonts w:ascii="Times New Roman" w:hAnsi="Times New Roman" w:cs="Times New Roman"/>
          <w:color w:val="000000"/>
          <w:sz w:val="24"/>
          <w:szCs w:val="24"/>
        </w:rPr>
        <w:t>Cronbach</w:t>
      </w:r>
      <w:proofErr w:type="spellEnd"/>
      <w:r w:rsidR="006B02E2">
        <w:rPr>
          <w:rFonts w:ascii="Times New Roman" w:hAnsi="Times New Roman" w:cs="Times New Roman"/>
          <w:color w:val="000000"/>
          <w:sz w:val="24"/>
          <w:szCs w:val="24"/>
        </w:rPr>
        <w:t xml:space="preserve"> fue calculado para</w:t>
      </w:r>
      <w:r w:rsidR="0091576C">
        <w:rPr>
          <w:rFonts w:ascii="Times New Roman" w:hAnsi="Times New Roman" w:cs="Times New Roman"/>
          <w:color w:val="000000"/>
          <w:sz w:val="24"/>
          <w:szCs w:val="24"/>
        </w:rPr>
        <w:t xml:space="preserve"> el grupo total de ítems, y esto es absolutamente inapropiado porque: a) los autores no demuestran el respaldo empírico para efectuarlo (por ejemplo, un análisis factorial jerárquico), b) la literatura indica que los factores del MBI-HSS generalmente son </w:t>
      </w:r>
      <w:r w:rsidR="0011590E">
        <w:rPr>
          <w:rFonts w:ascii="Times New Roman" w:hAnsi="Times New Roman" w:cs="Times New Roman"/>
          <w:color w:val="000000"/>
          <w:sz w:val="24"/>
          <w:szCs w:val="24"/>
        </w:rPr>
        <w:t>indepen</w:t>
      </w:r>
      <w:r w:rsidR="002C55F5">
        <w:rPr>
          <w:rFonts w:ascii="Times New Roman" w:hAnsi="Times New Roman" w:cs="Times New Roman"/>
          <w:color w:val="000000"/>
          <w:sz w:val="24"/>
          <w:szCs w:val="24"/>
        </w:rPr>
        <w:t>dientes</w:t>
      </w:r>
      <w:r w:rsidR="00115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576C">
        <w:rPr>
          <w:rFonts w:ascii="Times New Roman" w:hAnsi="Times New Roman" w:cs="Times New Roman"/>
          <w:color w:val="000000"/>
          <w:sz w:val="24"/>
          <w:szCs w:val="24"/>
        </w:rPr>
        <w:t xml:space="preserve">característica también señalada por </w:t>
      </w:r>
      <w:r w:rsidR="0011590E">
        <w:rPr>
          <w:rFonts w:ascii="Times New Roman" w:hAnsi="Times New Roman" w:cs="Times New Roman"/>
          <w:color w:val="000000"/>
          <w:sz w:val="24"/>
          <w:szCs w:val="24"/>
        </w:rPr>
        <w:t>Córdova et al.</w:t>
      </w:r>
      <w:r w:rsidR="0061273A" w:rsidRPr="006127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1590E">
        <w:rPr>
          <w:rFonts w:ascii="Times New Roman" w:hAnsi="Times New Roman" w:cs="Times New Roman"/>
          <w:color w:val="000000"/>
          <w:sz w:val="24"/>
          <w:szCs w:val="24"/>
        </w:rPr>
        <w:t xml:space="preserve"> y los mismos autores del MBI-HSS</w:t>
      </w:r>
      <w:r w:rsidR="0061273A" w:rsidRPr="006127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91576C">
        <w:rPr>
          <w:rFonts w:ascii="Times New Roman" w:hAnsi="Times New Roman" w:cs="Times New Roman"/>
          <w:color w:val="000000"/>
          <w:sz w:val="24"/>
          <w:szCs w:val="24"/>
        </w:rPr>
        <w:t xml:space="preserve">, y c) los autores no reportan las correlaciones inter-factoriales, con las cuales se </w:t>
      </w:r>
      <w:r w:rsidR="00AA3E8C">
        <w:rPr>
          <w:rFonts w:ascii="Times New Roman" w:hAnsi="Times New Roman" w:cs="Times New Roman"/>
          <w:color w:val="000000"/>
          <w:sz w:val="24"/>
          <w:szCs w:val="24"/>
        </w:rPr>
        <w:t>podría</w:t>
      </w:r>
      <w:r w:rsidR="00915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E8C">
        <w:rPr>
          <w:rFonts w:ascii="Times New Roman" w:hAnsi="Times New Roman" w:cs="Times New Roman"/>
          <w:color w:val="000000"/>
          <w:sz w:val="24"/>
          <w:szCs w:val="24"/>
        </w:rPr>
        <w:t xml:space="preserve">haber obtenido una </w:t>
      </w:r>
      <w:r w:rsidR="0091576C">
        <w:rPr>
          <w:rFonts w:ascii="Times New Roman" w:hAnsi="Times New Roman" w:cs="Times New Roman"/>
          <w:color w:val="000000"/>
          <w:sz w:val="24"/>
          <w:szCs w:val="24"/>
        </w:rPr>
        <w:t>apreciación al menos heurística del grado de varianza común entre los factores.</w:t>
      </w:r>
    </w:p>
    <w:p w:rsidR="0091576C" w:rsidRDefault="0091576C" w:rsidP="002F480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 segundo lugar, los autores obtienen siete factores en su análisis factorial exploratorio; este gran número de factores parece provenir de la aplicación de un método de retención de factores </w:t>
      </w:r>
      <w:r w:rsidR="00907496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hoy </w:t>
      </w:r>
      <w:r w:rsidR="00907496">
        <w:rPr>
          <w:rFonts w:ascii="Times New Roman" w:hAnsi="Times New Roman" w:cs="Times New Roman"/>
          <w:color w:val="000000"/>
          <w:sz w:val="24"/>
          <w:szCs w:val="24"/>
        </w:rPr>
        <w:t xml:space="preserve">es consensualmente </w:t>
      </w:r>
      <w:r w:rsidR="0067077B">
        <w:rPr>
          <w:rFonts w:ascii="Times New Roman" w:hAnsi="Times New Roman" w:cs="Times New Roman"/>
          <w:color w:val="000000"/>
          <w:sz w:val="24"/>
          <w:szCs w:val="24"/>
        </w:rPr>
        <w:t>inexacto</w:t>
      </w:r>
      <w:r w:rsidR="00AA3E8C">
        <w:rPr>
          <w:rFonts w:ascii="Times New Roman" w:hAnsi="Times New Roman" w:cs="Times New Roman"/>
          <w:color w:val="000000"/>
          <w:sz w:val="24"/>
          <w:szCs w:val="24"/>
        </w:rPr>
        <w:t xml:space="preserve"> y poco recomendado</w:t>
      </w:r>
      <w:r w:rsidR="0067077B" w:rsidRPr="0067077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98133C" w:rsidRPr="0067077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, </w:t>
      </w:r>
      <w:r w:rsidR="0067077B" w:rsidRPr="0067077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="0098133C">
        <w:rPr>
          <w:rFonts w:ascii="Times New Roman" w:hAnsi="Times New Roman" w:cs="Times New Roman"/>
          <w:color w:val="000000"/>
          <w:sz w:val="24"/>
          <w:szCs w:val="24"/>
        </w:rPr>
        <w:t xml:space="preserve">, y que específicamente se le conoce como la </w:t>
      </w:r>
      <w:r w:rsidR="0098133C" w:rsidRPr="00AA3E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regla de </w:t>
      </w:r>
      <w:proofErr w:type="spellStart"/>
      <w:r w:rsidR="0098133C" w:rsidRPr="00AA3E8C">
        <w:rPr>
          <w:rFonts w:ascii="Times New Roman" w:hAnsi="Times New Roman" w:cs="Times New Roman"/>
          <w:i/>
          <w:color w:val="000000"/>
          <w:sz w:val="24"/>
          <w:szCs w:val="24"/>
        </w:rPr>
        <w:t>Kaiser</w:t>
      </w:r>
      <w:proofErr w:type="spellEnd"/>
      <w:r w:rsidR="009813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8133C" w:rsidRPr="00AA3E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regla de </w:t>
      </w:r>
      <w:proofErr w:type="spellStart"/>
      <w:r w:rsidR="0098133C" w:rsidRPr="00AA3E8C">
        <w:rPr>
          <w:rFonts w:ascii="Times New Roman" w:hAnsi="Times New Roman" w:cs="Times New Roman"/>
          <w:i/>
          <w:color w:val="000000"/>
          <w:sz w:val="24"/>
          <w:szCs w:val="24"/>
        </w:rPr>
        <w:t>Guttman</w:t>
      </w:r>
      <w:proofErr w:type="spellEnd"/>
      <w:r w:rsidR="0098133C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98133C" w:rsidRPr="00AA3E8C">
        <w:rPr>
          <w:rFonts w:ascii="Times New Roman" w:hAnsi="Times New Roman" w:cs="Times New Roman"/>
          <w:i/>
          <w:color w:val="000000"/>
          <w:sz w:val="24"/>
          <w:szCs w:val="24"/>
        </w:rPr>
        <w:t>simplemente K1</w:t>
      </w:r>
      <w:r w:rsidR="00AA3E8C" w:rsidRPr="00AA3E8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="009813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13FE">
        <w:rPr>
          <w:rFonts w:ascii="Times New Roman" w:hAnsi="Times New Roman" w:cs="Times New Roman"/>
          <w:color w:val="000000"/>
          <w:sz w:val="24"/>
          <w:szCs w:val="24"/>
        </w:rPr>
        <w:t xml:space="preserve"> El problema que identifica a este método es la sobre-estimación del número de factores para retener</w:t>
      </w:r>
      <w:r w:rsidR="0067077B" w:rsidRPr="0067077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3, 4</w:t>
      </w:r>
      <w:r w:rsidR="002A13FE">
        <w:rPr>
          <w:rFonts w:ascii="Times New Roman" w:hAnsi="Times New Roman" w:cs="Times New Roman"/>
          <w:color w:val="000000"/>
          <w:sz w:val="24"/>
          <w:szCs w:val="24"/>
        </w:rPr>
        <w:t>, situación que claramente ocurrió en los resultados de Córdova et al.</w:t>
      </w:r>
      <w:r w:rsidR="0067077B" w:rsidRPr="0067077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B3DA5">
        <w:rPr>
          <w:rFonts w:ascii="Times New Roman" w:hAnsi="Times New Roman" w:cs="Times New Roman"/>
          <w:color w:val="000000"/>
          <w:sz w:val="24"/>
          <w:szCs w:val="24"/>
        </w:rPr>
        <w:t>, reportados en su Tabla 2.</w:t>
      </w:r>
    </w:p>
    <w:p w:rsidR="006C546F" w:rsidRDefault="006C546F" w:rsidP="002C55F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 método más preciso, que ha ganado el consenso científico sobre las buenas prácticas en la retención del número de factores, es el llamado </w:t>
      </w:r>
      <w:r w:rsidRPr="002C55F5">
        <w:rPr>
          <w:rFonts w:ascii="Times New Roman" w:hAnsi="Times New Roman" w:cs="Times New Roman"/>
          <w:i/>
          <w:color w:val="000000"/>
          <w:sz w:val="24"/>
          <w:szCs w:val="24"/>
        </w:rPr>
        <w:t>análisis paralelo</w:t>
      </w:r>
      <w:r w:rsidR="00E652E6" w:rsidRPr="00E65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3,</w:t>
      </w:r>
      <w:r w:rsidR="00E65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E652E6" w:rsidRPr="00E65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="0011590E">
        <w:rPr>
          <w:rFonts w:ascii="Times New Roman" w:hAnsi="Times New Roman" w:cs="Times New Roman"/>
          <w:color w:val="000000"/>
          <w:sz w:val="24"/>
          <w:szCs w:val="24"/>
        </w:rPr>
        <w:t>. E</w:t>
      </w:r>
      <w:r w:rsidR="006A0338">
        <w:rPr>
          <w:rFonts w:ascii="Times New Roman" w:hAnsi="Times New Roman" w:cs="Times New Roman"/>
          <w:color w:val="000000"/>
          <w:sz w:val="24"/>
          <w:szCs w:val="24"/>
        </w:rPr>
        <w:t>ste procedimiento</w:t>
      </w:r>
      <w:r w:rsidR="00E652E6">
        <w:rPr>
          <w:rFonts w:ascii="Times New Roman" w:hAnsi="Times New Roman" w:cs="Times New Roman"/>
          <w:color w:val="000000"/>
          <w:sz w:val="24"/>
          <w:szCs w:val="24"/>
        </w:rPr>
        <w:t xml:space="preserve"> se basa en el trabajo de Horn</w:t>
      </w:r>
      <w:r w:rsidR="006A0338" w:rsidRPr="00E65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="006A0338">
        <w:rPr>
          <w:rFonts w:ascii="Times New Roman" w:hAnsi="Times New Roman" w:cs="Times New Roman"/>
          <w:color w:val="000000"/>
          <w:sz w:val="24"/>
          <w:szCs w:val="24"/>
        </w:rPr>
        <w:t xml:space="preserve">, que consiste en el crear aleatoriamente el mismo número de variables que los ítems que analizan (en el caso del MBI-HSS, 22 ítems), correlacionarlas y extraer autovalores contra los cuales comparar los autovalores derivados de los datos empíricos bajo análisis. Este procedimiento se aplicó a los autovalores reportados en la Tabla </w:t>
      </w:r>
      <w:r w:rsidR="00E652E6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6A0338">
        <w:rPr>
          <w:rFonts w:ascii="Times New Roman" w:hAnsi="Times New Roman" w:cs="Times New Roman"/>
          <w:color w:val="000000"/>
          <w:sz w:val="24"/>
          <w:szCs w:val="24"/>
        </w:rPr>
        <w:t>de Córdova et al</w:t>
      </w:r>
      <w:r w:rsidR="00E652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52E6" w:rsidRPr="00E65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A0338">
        <w:rPr>
          <w:rFonts w:ascii="Times New Roman" w:hAnsi="Times New Roman" w:cs="Times New Roman"/>
          <w:color w:val="000000"/>
          <w:sz w:val="24"/>
          <w:szCs w:val="24"/>
        </w:rPr>
        <w:t>, mediante el programa</w:t>
      </w:r>
      <w:r w:rsidR="001A3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EA9" w:rsidRPr="00E652E6">
        <w:rPr>
          <w:rFonts w:ascii="Times New Roman" w:hAnsi="Times New Roman" w:cs="Times New Roman"/>
          <w:i/>
          <w:color w:val="000000"/>
          <w:sz w:val="24"/>
          <w:szCs w:val="24"/>
        </w:rPr>
        <w:t>Monte Carlo PCA</w:t>
      </w:r>
      <w:r w:rsidR="00E652E6" w:rsidRPr="00E652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7261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72615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A3EA9">
        <w:rPr>
          <w:rFonts w:ascii="Times New Roman" w:hAnsi="Times New Roman" w:cs="Times New Roman"/>
          <w:color w:val="000000"/>
          <w:sz w:val="24"/>
          <w:szCs w:val="24"/>
        </w:rPr>
        <w:t>100 replicaciones</w:t>
      </w:r>
      <w:r w:rsidR="0072615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A3EA9">
        <w:rPr>
          <w:rFonts w:ascii="Times New Roman" w:hAnsi="Times New Roman" w:cs="Times New Roman"/>
          <w:color w:val="000000"/>
          <w:sz w:val="24"/>
          <w:szCs w:val="24"/>
        </w:rPr>
        <w:t>. Nuestros resultados se muestran e</w:t>
      </w:r>
      <w:r w:rsidR="001D1492">
        <w:rPr>
          <w:rFonts w:ascii="Times New Roman" w:hAnsi="Times New Roman" w:cs="Times New Roman"/>
          <w:color w:val="000000"/>
          <w:sz w:val="24"/>
          <w:szCs w:val="24"/>
        </w:rPr>
        <w:t>n la Tabla 1.</w:t>
      </w:r>
    </w:p>
    <w:p w:rsidR="001A3EA9" w:rsidRDefault="001A3EA9" w:rsidP="006B02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DA5" w:rsidRDefault="00D37890" w:rsidP="00D37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</w:t>
      </w:r>
    </w:p>
    <w:p w:rsidR="00D37890" w:rsidRDefault="00D37890" w:rsidP="00D37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Tabla 1</w:t>
      </w:r>
    </w:p>
    <w:p w:rsidR="00D37890" w:rsidRDefault="00D37890" w:rsidP="00D37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-------------------------</w:t>
      </w:r>
    </w:p>
    <w:p w:rsidR="00D37890" w:rsidRDefault="00E652E6" w:rsidP="009F221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D1492">
        <w:rPr>
          <w:rFonts w:ascii="Times New Roman" w:hAnsi="Times New Roman" w:cs="Times New Roman"/>
          <w:color w:val="000000"/>
          <w:sz w:val="24"/>
          <w:szCs w:val="24"/>
        </w:rPr>
        <w:t xml:space="preserve">l número apropiado de factores para retener se consigue comparando uno a uno cada autovalor, deteniéndose en el autovalor </w:t>
      </w:r>
      <w:r w:rsidR="00726155">
        <w:rPr>
          <w:rFonts w:ascii="Times New Roman" w:hAnsi="Times New Roman" w:cs="Times New Roman"/>
          <w:color w:val="000000"/>
          <w:sz w:val="24"/>
          <w:szCs w:val="24"/>
        </w:rPr>
        <w:t xml:space="preserve">empírico </w:t>
      </w:r>
      <w:r w:rsidR="001D1492">
        <w:rPr>
          <w:rFonts w:ascii="Times New Roman" w:hAnsi="Times New Roman" w:cs="Times New Roman"/>
          <w:color w:val="000000"/>
          <w:sz w:val="24"/>
          <w:szCs w:val="24"/>
        </w:rPr>
        <w:t xml:space="preserve">que es </w:t>
      </w:r>
      <w:r w:rsidR="00726155">
        <w:rPr>
          <w:rFonts w:ascii="Times New Roman" w:hAnsi="Times New Roman" w:cs="Times New Roman"/>
          <w:color w:val="000000"/>
          <w:sz w:val="24"/>
          <w:szCs w:val="24"/>
        </w:rPr>
        <w:t xml:space="preserve">menor </w:t>
      </w:r>
      <w:r w:rsidR="001D1492">
        <w:rPr>
          <w:rFonts w:ascii="Times New Roman" w:hAnsi="Times New Roman" w:cs="Times New Roman"/>
          <w:color w:val="000000"/>
          <w:sz w:val="24"/>
          <w:szCs w:val="24"/>
        </w:rPr>
        <w:t xml:space="preserve">al autovalor </w:t>
      </w:r>
      <w:r w:rsidR="00726155">
        <w:rPr>
          <w:rFonts w:ascii="Times New Roman" w:hAnsi="Times New Roman" w:cs="Times New Roman"/>
          <w:color w:val="000000"/>
          <w:sz w:val="24"/>
          <w:szCs w:val="24"/>
        </w:rPr>
        <w:t>aleatorio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A3E8C">
        <w:rPr>
          <w:rFonts w:ascii="Times New Roman" w:hAnsi="Times New Roman" w:cs="Times New Roman"/>
          <w:color w:val="000000"/>
          <w:sz w:val="24"/>
          <w:szCs w:val="24"/>
        </w:rPr>
        <w:t>conceptualmente, esto señala que los autovalores significativos deben ser mayores que aquellos generados aleatoriamente</w:t>
      </w:r>
      <w:r w:rsidR="001D1492">
        <w:rPr>
          <w:rFonts w:ascii="Times New Roman" w:hAnsi="Times New Roman" w:cs="Times New Roman"/>
          <w:color w:val="000000"/>
          <w:sz w:val="24"/>
          <w:szCs w:val="24"/>
        </w:rPr>
        <w:t>. En la Tabla 1, el número de autovalores para retener es 3, el cual es exactamente el número de factores subyacente el MBI-HSS.</w:t>
      </w:r>
      <w:r w:rsidR="009F2219">
        <w:rPr>
          <w:rFonts w:ascii="Times New Roman" w:hAnsi="Times New Roman" w:cs="Times New Roman"/>
          <w:color w:val="000000"/>
          <w:sz w:val="24"/>
          <w:szCs w:val="24"/>
        </w:rPr>
        <w:t xml:space="preserve"> Validando este resultado con un análisis conceptual de estos tres factores, se llegaría a la conclusión que la estructura factorial del MBI-HSS es replicable en la muestra estudiada.</w:t>
      </w:r>
      <w:r w:rsidR="00D77AD9">
        <w:rPr>
          <w:rFonts w:ascii="Times New Roman" w:hAnsi="Times New Roman" w:cs="Times New Roman"/>
          <w:color w:val="000000"/>
          <w:sz w:val="24"/>
          <w:szCs w:val="24"/>
        </w:rPr>
        <w:t xml:space="preserve"> Comparado con el primer resultado de los autores (7 factores), la diferencia metodológica es clara.</w:t>
      </w:r>
    </w:p>
    <w:p w:rsidR="00726155" w:rsidRDefault="009F2219" w:rsidP="003C045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Finalmente, señalamos que el uso del análisis paralelo debe ser la práctica recomendada para tomar decisiones más precisas sobre el número de factores para retener. </w:t>
      </w:r>
    </w:p>
    <w:p w:rsidR="001D1492" w:rsidRDefault="001D1492" w:rsidP="006B02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DA5" w:rsidRPr="00EB3DA5" w:rsidRDefault="00EB3DA5" w:rsidP="00EB3D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3DA5">
        <w:rPr>
          <w:rFonts w:ascii="Times New Roman" w:hAnsi="Times New Roman" w:cs="Times New Roman"/>
          <w:sz w:val="24"/>
          <w:szCs w:val="24"/>
          <w:lang w:val="en-US"/>
        </w:rPr>
        <w:t>Referencias</w:t>
      </w:r>
      <w:proofErr w:type="spellEnd"/>
      <w:r w:rsidRPr="00EB3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273A" w:rsidRPr="0061273A" w:rsidRDefault="00B96FBE" w:rsidP="00B96F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61273A" w:rsidRPr="0061273A">
        <w:rPr>
          <w:rFonts w:ascii="Times New Roman" w:hAnsi="Times New Roman" w:cs="Times New Roman"/>
          <w:sz w:val="24"/>
          <w:szCs w:val="24"/>
          <w:lang w:val="en-US"/>
        </w:rPr>
        <w:t>Maslach</w:t>
      </w:r>
      <w:proofErr w:type="spellEnd"/>
      <w:r w:rsidR="0061273A" w:rsidRPr="0061273A">
        <w:rPr>
          <w:rFonts w:ascii="Times New Roman" w:hAnsi="Times New Roman" w:cs="Times New Roman"/>
          <w:sz w:val="24"/>
          <w:szCs w:val="24"/>
          <w:lang w:val="en-US"/>
        </w:rPr>
        <w:t xml:space="preserve"> C, Jackson, S. </w:t>
      </w:r>
      <w:proofErr w:type="spellStart"/>
      <w:r w:rsidR="0061273A" w:rsidRPr="0061273A">
        <w:rPr>
          <w:rFonts w:ascii="Times New Roman" w:hAnsi="Times New Roman" w:cs="Times New Roman"/>
          <w:sz w:val="24"/>
          <w:szCs w:val="24"/>
          <w:lang w:val="en-US"/>
        </w:rPr>
        <w:t>Maslach</w:t>
      </w:r>
      <w:proofErr w:type="spellEnd"/>
      <w:r w:rsidR="0061273A" w:rsidRPr="00612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73A" w:rsidRPr="00B96FBE">
        <w:rPr>
          <w:rFonts w:ascii="Times New Roman" w:hAnsi="Times New Roman" w:cs="Times New Roman"/>
          <w:color w:val="000000"/>
          <w:sz w:val="24"/>
          <w:szCs w:val="24"/>
          <w:lang w:val="en-US"/>
        </w:rPr>
        <w:t>Burnout</w:t>
      </w:r>
      <w:r w:rsidR="0061273A" w:rsidRPr="0061273A">
        <w:rPr>
          <w:rFonts w:ascii="Times New Roman" w:hAnsi="Times New Roman" w:cs="Times New Roman"/>
          <w:sz w:val="24"/>
          <w:szCs w:val="24"/>
          <w:lang w:val="en-US"/>
        </w:rPr>
        <w:t xml:space="preserve"> Inventory-Human Services Survey (MBI-HSS). </w:t>
      </w:r>
      <w:r w:rsidR="0061273A" w:rsidRPr="0061273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En: </w:t>
      </w:r>
      <w:proofErr w:type="spellStart"/>
      <w:r w:rsidR="0061273A" w:rsidRPr="0061273A">
        <w:rPr>
          <w:rFonts w:ascii="Times New Roman" w:hAnsi="Times New Roman" w:cs="Times New Roman"/>
          <w:sz w:val="24"/>
          <w:szCs w:val="24"/>
          <w:lang w:val="en-US"/>
        </w:rPr>
        <w:t>Maslach</w:t>
      </w:r>
      <w:proofErr w:type="spellEnd"/>
      <w:r w:rsidR="0061273A" w:rsidRPr="0061273A">
        <w:rPr>
          <w:rFonts w:ascii="Times New Roman" w:hAnsi="Times New Roman" w:cs="Times New Roman"/>
          <w:sz w:val="24"/>
          <w:szCs w:val="24"/>
          <w:lang w:val="en-US"/>
        </w:rPr>
        <w:t xml:space="preserve"> C, Jackson, S. </w:t>
      </w:r>
      <w:proofErr w:type="spellStart"/>
      <w:r w:rsidR="0061273A" w:rsidRPr="0061273A">
        <w:rPr>
          <w:rFonts w:ascii="Times New Roman" w:hAnsi="Times New Roman" w:cs="Times New Roman"/>
          <w:sz w:val="24"/>
          <w:szCs w:val="24"/>
          <w:lang w:val="en-US"/>
        </w:rPr>
        <w:t>Leiter</w:t>
      </w:r>
      <w:proofErr w:type="spellEnd"/>
      <w:r w:rsidR="0061273A" w:rsidRPr="0061273A">
        <w:rPr>
          <w:rFonts w:ascii="Times New Roman" w:hAnsi="Times New Roman" w:cs="Times New Roman"/>
          <w:sz w:val="24"/>
          <w:szCs w:val="24"/>
          <w:lang w:val="en-US"/>
        </w:rPr>
        <w:t xml:space="preserve"> M (</w:t>
      </w:r>
      <w:proofErr w:type="gramStart"/>
      <w:r w:rsidR="0061273A" w:rsidRPr="0061273A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="0061273A" w:rsidRPr="0061273A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proofErr w:type="spellStart"/>
      <w:r w:rsidR="0061273A" w:rsidRPr="0061273A">
        <w:rPr>
          <w:rFonts w:ascii="Times New Roman" w:hAnsi="Times New Roman" w:cs="Times New Roman"/>
          <w:i/>
          <w:iCs/>
          <w:sz w:val="24"/>
          <w:szCs w:val="24"/>
          <w:lang w:val="en-US"/>
        </w:rPr>
        <w:t>Maslach</w:t>
      </w:r>
      <w:proofErr w:type="spellEnd"/>
      <w:r w:rsidR="0061273A" w:rsidRPr="0061273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Burnout Inventory Manual. </w:t>
      </w:r>
      <w:r w:rsidR="0061273A" w:rsidRPr="0061273A">
        <w:rPr>
          <w:rFonts w:ascii="Times New Roman" w:hAnsi="Times New Roman" w:cs="Times New Roman"/>
          <w:sz w:val="24"/>
          <w:szCs w:val="24"/>
          <w:lang w:val="en-US"/>
        </w:rPr>
        <w:t xml:space="preserve">Mountain View: Consulting </w:t>
      </w:r>
      <w:proofErr w:type="spellStart"/>
      <w:r w:rsidR="0061273A" w:rsidRPr="0061273A">
        <w:rPr>
          <w:rFonts w:ascii="Times New Roman" w:hAnsi="Times New Roman" w:cs="Times New Roman"/>
          <w:sz w:val="24"/>
          <w:szCs w:val="24"/>
          <w:lang w:val="en-US"/>
        </w:rPr>
        <w:t>Pschologists</w:t>
      </w:r>
      <w:proofErr w:type="spellEnd"/>
      <w:r w:rsidR="0061273A" w:rsidRPr="0061273A">
        <w:rPr>
          <w:rFonts w:ascii="Times New Roman" w:hAnsi="Times New Roman" w:cs="Times New Roman"/>
          <w:sz w:val="24"/>
          <w:szCs w:val="24"/>
          <w:lang w:val="en-US"/>
        </w:rPr>
        <w:t xml:space="preserve"> Press; 1996.</w:t>
      </w:r>
    </w:p>
    <w:p w:rsidR="00EB3DA5" w:rsidRPr="006B02E2" w:rsidRDefault="00B96FBE" w:rsidP="00EB3D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EB3DA5" w:rsidRPr="006B02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Córdoba L, Tamayo J, González M, Martinez M, Rosales A, </w:t>
      </w:r>
      <w:proofErr w:type="spellStart"/>
      <w:r w:rsidR="00EB3DA5" w:rsidRPr="006B02E2">
        <w:rPr>
          <w:rFonts w:ascii="Times New Roman" w:hAnsi="Times New Roman" w:cs="Times New Roman"/>
          <w:color w:val="000000"/>
          <w:sz w:val="24"/>
          <w:szCs w:val="24"/>
          <w:lang w:val="en-US"/>
        </w:rPr>
        <w:t>Barbato</w:t>
      </w:r>
      <w:proofErr w:type="spellEnd"/>
      <w:r w:rsidR="00EB3DA5" w:rsidRPr="006B02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 Adaptation and validation of the </w:t>
      </w:r>
      <w:proofErr w:type="spellStart"/>
      <w:r w:rsidR="00EB3DA5" w:rsidRPr="006B02E2">
        <w:rPr>
          <w:rFonts w:ascii="Times New Roman" w:hAnsi="Times New Roman" w:cs="Times New Roman"/>
          <w:color w:val="000000"/>
          <w:sz w:val="24"/>
          <w:szCs w:val="24"/>
          <w:lang w:val="en-US"/>
        </w:rPr>
        <w:t>Maslach</w:t>
      </w:r>
      <w:proofErr w:type="spellEnd"/>
      <w:r w:rsidR="00EB3DA5" w:rsidRPr="006B02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Burnout Inventory-Human Services Survey in Cali, Colombia. </w:t>
      </w:r>
      <w:proofErr w:type="spellStart"/>
      <w:r w:rsidR="00EB3DA5" w:rsidRPr="00B96FB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Colomb</w:t>
      </w:r>
      <w:proofErr w:type="spellEnd"/>
      <w:r w:rsidR="00EB3DA5" w:rsidRPr="00B96FB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Med</w:t>
      </w:r>
      <w:r w:rsidR="00EB3DA5" w:rsidRPr="006B02E2">
        <w:rPr>
          <w:rFonts w:ascii="Times New Roman" w:hAnsi="Times New Roman" w:cs="Times New Roman"/>
          <w:color w:val="000000"/>
          <w:sz w:val="24"/>
          <w:szCs w:val="24"/>
          <w:lang w:val="en-US"/>
        </w:rPr>
        <w:t>. 2011</w:t>
      </w:r>
      <w:proofErr w:type="gramStart"/>
      <w:r w:rsidR="00EB3DA5" w:rsidRPr="006B02E2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="00EB3DA5" w:rsidRPr="006B02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B3DA5" w:rsidRPr="00B96FB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42</w:t>
      </w:r>
      <w:r w:rsidR="00EB3DA5" w:rsidRPr="006B02E2">
        <w:rPr>
          <w:rFonts w:ascii="Times New Roman" w:hAnsi="Times New Roman" w:cs="Times New Roman"/>
          <w:color w:val="000000"/>
          <w:sz w:val="24"/>
          <w:szCs w:val="24"/>
          <w:lang w:val="en-US"/>
        </w:rPr>
        <w:t>(3): 286-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EB3DA5" w:rsidRPr="006B02E2">
        <w:rPr>
          <w:rFonts w:ascii="Times New Roman" w:hAnsi="Times New Roman" w:cs="Times New Roman"/>
          <w:color w:val="000000"/>
          <w:sz w:val="24"/>
          <w:szCs w:val="24"/>
          <w:lang w:val="en-US"/>
        </w:rPr>
        <w:t>93.</w:t>
      </w:r>
    </w:p>
    <w:p w:rsidR="00EB3DA5" w:rsidRDefault="00B96FBE" w:rsidP="00EB3D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EB3D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EB3DA5" w:rsidRPr="006B02E2">
        <w:rPr>
          <w:rFonts w:ascii="Times New Roman" w:hAnsi="Times New Roman" w:cs="Times New Roman"/>
          <w:color w:val="000000"/>
          <w:sz w:val="24"/>
          <w:szCs w:val="24"/>
          <w:lang w:val="en-US"/>
        </w:rPr>
        <w:t>Hayton</w:t>
      </w:r>
      <w:proofErr w:type="spellEnd"/>
      <w:r w:rsidR="00EB3DA5" w:rsidRPr="006B02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JC, Allen DG, </w:t>
      </w:r>
      <w:proofErr w:type="spellStart"/>
      <w:r w:rsidR="00EB3DA5" w:rsidRPr="006B02E2">
        <w:rPr>
          <w:rFonts w:ascii="Times New Roman" w:hAnsi="Times New Roman" w:cs="Times New Roman"/>
          <w:color w:val="000000"/>
          <w:sz w:val="24"/>
          <w:szCs w:val="24"/>
          <w:lang w:val="en-US"/>
        </w:rPr>
        <w:t>Scarpello</w:t>
      </w:r>
      <w:proofErr w:type="spellEnd"/>
      <w:r w:rsidR="00EB3DA5" w:rsidRPr="006B02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 Factor retention decisions in exploratory factor analysis: A tutorial on parallel analysis. </w:t>
      </w:r>
      <w:r w:rsidR="00EB3DA5" w:rsidRPr="00C56E4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Org</w:t>
      </w:r>
      <w:r w:rsidR="002F480A" w:rsidRPr="00C56E4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an</w:t>
      </w:r>
      <w:r w:rsidR="00EB3DA5" w:rsidRPr="00C56E4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Res Met</w:t>
      </w:r>
      <w:r w:rsidR="002F480A" w:rsidRPr="00C56E4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</w:t>
      </w:r>
      <w:r w:rsidR="00EB3DA5" w:rsidRPr="006B02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="00EB3DA5" w:rsidRPr="006B02E2">
        <w:rPr>
          <w:rFonts w:ascii="Times New Roman" w:hAnsi="Times New Roman" w:cs="Times New Roman"/>
          <w:color w:val="000000"/>
          <w:sz w:val="24"/>
          <w:szCs w:val="24"/>
          <w:lang w:val="en-US"/>
        </w:rPr>
        <w:t>2004</w:t>
      </w:r>
      <w:proofErr w:type="gramEnd"/>
      <w:r w:rsidR="00EB3DA5" w:rsidRPr="006B02E2">
        <w:rPr>
          <w:rFonts w:ascii="Times New Roman" w:hAnsi="Times New Roman" w:cs="Times New Roman"/>
          <w:color w:val="000000"/>
          <w:sz w:val="24"/>
          <w:szCs w:val="24"/>
          <w:lang w:val="en-US"/>
        </w:rPr>
        <w:t>; 7(2): 191-205.</w:t>
      </w:r>
    </w:p>
    <w:p w:rsidR="00EB3DA5" w:rsidRPr="00F609E1" w:rsidRDefault="00B96FBE" w:rsidP="00EB3D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="00EB3D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EB3DA5" w:rsidRPr="00F609E1">
        <w:rPr>
          <w:rFonts w:ascii="Times New Roman" w:hAnsi="Times New Roman" w:cs="Times New Roman"/>
          <w:color w:val="000000"/>
          <w:sz w:val="24"/>
          <w:szCs w:val="24"/>
          <w:lang w:val="en-US"/>
        </w:rPr>
        <w:t>Dinno</w:t>
      </w:r>
      <w:proofErr w:type="spellEnd"/>
      <w:r w:rsidR="00EB3DA5" w:rsidRPr="00F609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 Exploring the sensitivity of Horn’s parallel analysis to the distributional form of random data. </w:t>
      </w:r>
      <w:r w:rsidR="00EB3DA5" w:rsidRPr="00C56E4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Multivariate </w:t>
      </w:r>
      <w:proofErr w:type="spellStart"/>
      <w:r w:rsidR="00EB3DA5" w:rsidRPr="00C56E4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Behav</w:t>
      </w:r>
      <w:proofErr w:type="spellEnd"/>
      <w:r w:rsidR="00EB3DA5" w:rsidRPr="00C56E4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Res</w:t>
      </w:r>
      <w:r w:rsidR="00EB3DA5" w:rsidRPr="00F609E1">
        <w:rPr>
          <w:rFonts w:ascii="Times New Roman" w:hAnsi="Times New Roman" w:cs="Times New Roman"/>
          <w:color w:val="000000"/>
          <w:sz w:val="24"/>
          <w:szCs w:val="24"/>
          <w:lang w:val="en-US"/>
        </w:rPr>
        <w:t>. 2009</w:t>
      </w:r>
      <w:proofErr w:type="gramStart"/>
      <w:r w:rsidR="00EB3DA5" w:rsidRPr="00F609E1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="00EB3DA5" w:rsidRPr="00F609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44(3): 362–88.</w:t>
      </w:r>
    </w:p>
    <w:p w:rsidR="00EB3DA5" w:rsidRPr="00575F47" w:rsidRDefault="00B96FBE" w:rsidP="00EB3D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6C5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B3DA5" w:rsidRPr="00C66E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Watkins, M. W. (2000). </w:t>
      </w:r>
      <w:r w:rsidR="00EB3DA5" w:rsidRPr="00C56E4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Monte Carlo PCA for Parallel Analysis</w:t>
      </w:r>
      <w:r w:rsidR="00EB3DA5" w:rsidRPr="00C66E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[computer software]. </w:t>
      </w:r>
      <w:r w:rsidR="00EB3DA5" w:rsidRPr="00575F47">
        <w:rPr>
          <w:rFonts w:ascii="Times New Roman" w:hAnsi="Times New Roman" w:cs="Times New Roman"/>
          <w:color w:val="000000"/>
          <w:sz w:val="24"/>
          <w:szCs w:val="24"/>
        </w:rPr>
        <w:t>State College, PA: Ed &amp; Psych Associates.</w:t>
      </w:r>
    </w:p>
    <w:p w:rsidR="004471BA" w:rsidRPr="00575F47" w:rsidRDefault="004471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5F4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B3DA5" w:rsidRPr="00575F47" w:rsidRDefault="00D37890" w:rsidP="006B02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Table 1</w:t>
      </w:r>
    </w:p>
    <w:p w:rsidR="00D37890" w:rsidRPr="00D37890" w:rsidRDefault="00D37890" w:rsidP="006B02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890">
        <w:rPr>
          <w:rFonts w:ascii="Times New Roman" w:hAnsi="Times New Roman" w:cs="Times New Roman"/>
          <w:color w:val="000000"/>
          <w:sz w:val="24"/>
          <w:szCs w:val="24"/>
        </w:rPr>
        <w:t xml:space="preserve">Autovalores de Córdova et al.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(2011) y generados </w:t>
      </w:r>
      <w:r w:rsidRPr="00D37890">
        <w:rPr>
          <w:rFonts w:ascii="Times New Roman" w:hAnsi="Times New Roman" w:cs="Times New Roman"/>
          <w:color w:val="000000"/>
          <w:sz w:val="24"/>
          <w:szCs w:val="24"/>
        </w:rPr>
        <w:t>aleatori</w:t>
      </w:r>
      <w:r>
        <w:rPr>
          <w:rFonts w:ascii="Times New Roman" w:hAnsi="Times New Roman" w:cs="Times New Roman"/>
          <w:color w:val="000000"/>
          <w:sz w:val="24"/>
          <w:szCs w:val="24"/>
        </w:rPr>
        <w:t>amente</w:t>
      </w:r>
      <w:r w:rsidRPr="00D37890">
        <w:rPr>
          <w:rFonts w:ascii="Times New Roman" w:hAnsi="Times New Roman" w:cs="Times New Roman"/>
          <w:color w:val="000000"/>
          <w:sz w:val="24"/>
          <w:szCs w:val="24"/>
        </w:rPr>
        <w:t xml:space="preserve"> (100 replicaciones)</w:t>
      </w:r>
    </w:p>
    <w:tbl>
      <w:tblPr>
        <w:tblStyle w:val="Tablanormal3"/>
        <w:tblW w:w="3222" w:type="dxa"/>
        <w:tblLook w:val="0420" w:firstRow="1" w:lastRow="0" w:firstColumn="0" w:lastColumn="0" w:noHBand="0" w:noVBand="1"/>
      </w:tblPr>
      <w:tblGrid>
        <w:gridCol w:w="1123"/>
        <w:gridCol w:w="1043"/>
        <w:gridCol w:w="1123"/>
      </w:tblGrid>
      <w:tr w:rsidR="00617372" w:rsidRPr="004471BA" w:rsidTr="00447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372" w:rsidRPr="004471BA" w:rsidRDefault="00617372" w:rsidP="00447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471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</w:t>
            </w:r>
            <w:r w:rsidR="004471BA" w:rsidRPr="004471BA"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</w:rPr>
              <w:t>ro</w:t>
            </w:r>
            <w:proofErr w:type="spellEnd"/>
            <w:r w:rsidR="004471BA" w:rsidRPr="004471BA"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</w:rPr>
              <w:t xml:space="preserve"> de autovalor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372" w:rsidRPr="004471BA" w:rsidRDefault="00617372" w:rsidP="00447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71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</w:t>
            </w:r>
            <w:r w:rsidR="004471BA" w:rsidRPr="004471BA"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</w:rPr>
              <w:t>órdoba et al.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372" w:rsidRPr="004471BA" w:rsidRDefault="004471BA" w:rsidP="00447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71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</w:t>
            </w:r>
            <w:r w:rsidRPr="004471BA"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</w:rPr>
              <w:t>leatorio</w:t>
            </w:r>
          </w:p>
        </w:tc>
      </w:tr>
      <w:tr w:rsidR="00617372" w:rsidRPr="00617372" w:rsidTr="0044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3" w:type="dxa"/>
            <w:tcBorders>
              <w:top w:val="single" w:sz="4" w:space="0" w:color="auto"/>
            </w:tcBorders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</w:tr>
      <w:tr w:rsidR="00617372" w:rsidRPr="00617372" w:rsidTr="004471BA"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</w:tr>
      <w:tr w:rsidR="00617372" w:rsidRPr="00617372" w:rsidTr="0044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</w:tr>
      <w:tr w:rsidR="00617372" w:rsidRPr="00617372" w:rsidTr="004471BA"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</w:tr>
      <w:tr w:rsidR="00617372" w:rsidRPr="00617372" w:rsidTr="0044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617372" w:rsidRPr="00617372" w:rsidTr="004471BA"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</w:tr>
      <w:tr w:rsidR="00617372" w:rsidRPr="00617372" w:rsidTr="0044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</w:tr>
      <w:tr w:rsidR="00617372" w:rsidRPr="00617372" w:rsidTr="004471BA"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</w:tr>
      <w:tr w:rsidR="00617372" w:rsidRPr="00617372" w:rsidTr="0044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</w:tr>
      <w:tr w:rsidR="00617372" w:rsidRPr="00617372" w:rsidTr="004471BA"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</w:tr>
      <w:tr w:rsidR="00617372" w:rsidRPr="00617372" w:rsidTr="0044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617372" w:rsidRPr="00617372" w:rsidTr="004471BA"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617372" w:rsidRPr="00617372" w:rsidTr="0044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617372" w:rsidRPr="00617372" w:rsidTr="004471BA"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617372" w:rsidRPr="00617372" w:rsidTr="0044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617372" w:rsidRPr="00617372" w:rsidTr="004471BA"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617372" w:rsidRPr="00617372" w:rsidTr="0044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617372" w:rsidRPr="00617372" w:rsidTr="004471BA"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617372" w:rsidRPr="00617372" w:rsidTr="0044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617372" w:rsidRPr="00617372" w:rsidTr="004471BA"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617372" w:rsidRPr="00617372" w:rsidTr="0044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3" w:type="dxa"/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617372" w:rsidRPr="00617372" w:rsidTr="004471BA">
        <w:tc>
          <w:tcPr>
            <w:tcW w:w="1123" w:type="dxa"/>
            <w:tcBorders>
              <w:bottom w:val="single" w:sz="4" w:space="0" w:color="auto"/>
            </w:tcBorders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617372" w:rsidRPr="00617372" w:rsidRDefault="00617372" w:rsidP="006173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17372" w:rsidRPr="00617372" w:rsidRDefault="00617372" w:rsidP="006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</w:tbl>
    <w:p w:rsidR="00D37890" w:rsidRPr="001D1492" w:rsidRDefault="00D37890" w:rsidP="001D149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D37890" w:rsidRPr="001D1492" w:rsidSect="006B02E2">
      <w:headerReference w:type="first" r:id="rId6"/>
      <w:pgSz w:w="12240" w:h="15840" w:code="11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54" w:rsidRDefault="004D7D54" w:rsidP="004D7D54">
      <w:pPr>
        <w:spacing w:after="0" w:line="240" w:lineRule="auto"/>
      </w:pPr>
      <w:r>
        <w:separator/>
      </w:r>
    </w:p>
  </w:endnote>
  <w:endnote w:type="continuationSeparator" w:id="0">
    <w:p w:rsidR="004D7D54" w:rsidRDefault="004D7D54" w:rsidP="004D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54" w:rsidRDefault="004D7D54" w:rsidP="004D7D54">
      <w:pPr>
        <w:spacing w:after="0" w:line="240" w:lineRule="auto"/>
      </w:pPr>
      <w:r>
        <w:separator/>
      </w:r>
    </w:p>
  </w:footnote>
  <w:footnote w:type="continuationSeparator" w:id="0">
    <w:p w:rsidR="004D7D54" w:rsidRDefault="004D7D54" w:rsidP="004D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268136"/>
      <w:docPartObj>
        <w:docPartGallery w:val="Page Numbers (Top of Page)"/>
        <w:docPartUnique/>
      </w:docPartObj>
    </w:sdtPr>
    <w:sdtEndPr/>
    <w:sdtContent>
      <w:p w:rsidR="004D7D54" w:rsidRDefault="004D7D54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EE7">
          <w:rPr>
            <w:noProof/>
          </w:rPr>
          <w:t>1</w:t>
        </w:r>
        <w:r>
          <w:fldChar w:fldCharType="end"/>
        </w:r>
      </w:p>
    </w:sdtContent>
  </w:sdt>
  <w:p w:rsidR="004D7D54" w:rsidRDefault="004D7D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79"/>
    <w:rsid w:val="0004304E"/>
    <w:rsid w:val="001024D0"/>
    <w:rsid w:val="0011590E"/>
    <w:rsid w:val="001A3EA9"/>
    <w:rsid w:val="001D0924"/>
    <w:rsid w:val="001D1492"/>
    <w:rsid w:val="00217FDA"/>
    <w:rsid w:val="002A13FE"/>
    <w:rsid w:val="002C55F5"/>
    <w:rsid w:val="002F480A"/>
    <w:rsid w:val="00330169"/>
    <w:rsid w:val="0035481B"/>
    <w:rsid w:val="003A65ED"/>
    <w:rsid w:val="003C0453"/>
    <w:rsid w:val="003F1082"/>
    <w:rsid w:val="004471BA"/>
    <w:rsid w:val="0045377A"/>
    <w:rsid w:val="004B6D1C"/>
    <w:rsid w:val="004D7D54"/>
    <w:rsid w:val="00572467"/>
    <w:rsid w:val="00575F47"/>
    <w:rsid w:val="005E470E"/>
    <w:rsid w:val="0061273A"/>
    <w:rsid w:val="00617372"/>
    <w:rsid w:val="0067077B"/>
    <w:rsid w:val="006A0338"/>
    <w:rsid w:val="006B02E2"/>
    <w:rsid w:val="006C546F"/>
    <w:rsid w:val="00726155"/>
    <w:rsid w:val="007A3FC8"/>
    <w:rsid w:val="0086603E"/>
    <w:rsid w:val="00875042"/>
    <w:rsid w:val="00907496"/>
    <w:rsid w:val="0091576C"/>
    <w:rsid w:val="00966EE7"/>
    <w:rsid w:val="0098133C"/>
    <w:rsid w:val="009E60A9"/>
    <w:rsid w:val="009F2219"/>
    <w:rsid w:val="00A605A3"/>
    <w:rsid w:val="00AA3E8C"/>
    <w:rsid w:val="00AB6498"/>
    <w:rsid w:val="00AF45D0"/>
    <w:rsid w:val="00B96FBE"/>
    <w:rsid w:val="00C56E4C"/>
    <w:rsid w:val="00C66079"/>
    <w:rsid w:val="00C66EF0"/>
    <w:rsid w:val="00D37890"/>
    <w:rsid w:val="00D77AD9"/>
    <w:rsid w:val="00E652E6"/>
    <w:rsid w:val="00E73ED4"/>
    <w:rsid w:val="00EB3DA5"/>
    <w:rsid w:val="00F07772"/>
    <w:rsid w:val="00F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98A3E-FE00-489F-9783-3AF0287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5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D54"/>
  </w:style>
  <w:style w:type="paragraph" w:styleId="Piedepgina">
    <w:name w:val="footer"/>
    <w:basedOn w:val="Normal"/>
    <w:link w:val="PiedepginaCar"/>
    <w:uiPriority w:val="99"/>
    <w:unhideWhenUsed/>
    <w:rsid w:val="004D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D54"/>
  </w:style>
  <w:style w:type="character" w:customStyle="1" w:styleId="citation-flpages">
    <w:name w:val="citation-flpages"/>
    <w:basedOn w:val="Fuentedeprrafopredeter"/>
    <w:rsid w:val="001024D0"/>
  </w:style>
  <w:style w:type="table" w:styleId="Tablaconcuadrcula">
    <w:name w:val="Table Grid"/>
    <w:basedOn w:val="Tablanormal"/>
    <w:uiPriority w:val="39"/>
    <w:rsid w:val="001A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4471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</dc:creator>
  <cp:keywords/>
  <dc:description/>
  <cp:lastModifiedBy>CAMS</cp:lastModifiedBy>
  <cp:revision>37</cp:revision>
  <dcterms:created xsi:type="dcterms:W3CDTF">2013-04-30T13:26:00Z</dcterms:created>
  <dcterms:modified xsi:type="dcterms:W3CDTF">2013-05-22T16:59:00Z</dcterms:modified>
</cp:coreProperties>
</file>